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spacing w:line="320" w:lineRule="exact"/>
        <w:rPr>
          <w:rFonts w:eastAsia="仿宋_GB2312"/>
          <w:szCs w:val="32"/>
        </w:rPr>
      </w:pPr>
    </w:p>
    <w:p>
      <w:pPr>
        <w:overflowPunct w:val="0"/>
        <w:topLinePunct/>
        <w:spacing w:line="600" w:lineRule="exact"/>
        <w:jc w:val="center"/>
        <w:rPr>
          <w:rFonts w:eastAsia="方正小标宋简体"/>
          <w:sz w:val="44"/>
          <w:szCs w:val="44"/>
        </w:rPr>
      </w:pPr>
      <w:r>
        <w:rPr>
          <w:rFonts w:eastAsia="方正小标宋简体"/>
          <w:sz w:val="44"/>
          <w:szCs w:val="44"/>
        </w:rPr>
        <w:t>四川省生态环境科学研究院</w:t>
      </w:r>
    </w:p>
    <w:p>
      <w:pPr>
        <w:overflowPunct w:val="0"/>
        <w:topLinePunct/>
        <w:spacing w:line="600" w:lineRule="exact"/>
        <w:jc w:val="center"/>
        <w:rPr>
          <w:rFonts w:eastAsia="方正小标宋简体"/>
          <w:sz w:val="44"/>
          <w:szCs w:val="44"/>
        </w:rPr>
      </w:pPr>
      <w:r>
        <w:rPr>
          <w:rFonts w:eastAsia="方正小标宋简体"/>
          <w:sz w:val="44"/>
          <w:szCs w:val="44"/>
        </w:rPr>
        <w:t>2024年下半年公开考核招聘专业技术人员</w:t>
      </w:r>
    </w:p>
    <w:p>
      <w:pPr>
        <w:overflowPunct w:val="0"/>
        <w:topLinePunct/>
        <w:spacing w:line="600" w:lineRule="exact"/>
        <w:jc w:val="center"/>
        <w:rPr>
          <w:rFonts w:eastAsia="仿宋_GB2312"/>
          <w:sz w:val="32"/>
          <w:szCs w:val="32"/>
        </w:rPr>
      </w:pPr>
      <w:r>
        <w:rPr>
          <w:rFonts w:eastAsia="方正小标宋简体"/>
          <w:sz w:val="44"/>
          <w:szCs w:val="44"/>
        </w:rPr>
        <w:t>公告</w:t>
      </w:r>
    </w:p>
    <w:p>
      <w:pPr>
        <w:overflowPunct w:val="0"/>
        <w:topLinePunct/>
        <w:spacing w:line="600" w:lineRule="exact"/>
        <w:ind w:firstLine="640" w:firstLineChars="200"/>
        <w:rPr>
          <w:rFonts w:eastAsia="仿宋_GB2312"/>
          <w:sz w:val="32"/>
          <w:szCs w:val="32"/>
        </w:rPr>
      </w:pPr>
    </w:p>
    <w:p>
      <w:pPr>
        <w:overflowPunct w:val="0"/>
        <w:topLinePunct/>
        <w:spacing w:line="600" w:lineRule="exact"/>
        <w:ind w:firstLine="640" w:firstLineChars="200"/>
        <w:rPr>
          <w:rFonts w:eastAsia="仿宋_GB2312"/>
          <w:sz w:val="32"/>
          <w:szCs w:val="32"/>
        </w:rPr>
      </w:pPr>
      <w:r>
        <w:rPr>
          <w:rFonts w:eastAsia="仿宋_GB2312"/>
          <w:sz w:val="32"/>
          <w:szCs w:val="32"/>
        </w:rPr>
        <w:t>根据《事业单位人事管理条例》《四川省事业单位公开招聘工作人员实施办法》等有关规定，四川省生态环境科学研究院拟面向社会公开考核招聘一批高级工程师。现将有关事项公告如下（本公告同时在四川省人力资源和社会保障厅官网“人事考试”专栏[https://www.scpta.com.cn/，下同]、四川省人力资源和社会保障厅官网“人事人才测评服务”专栏[https://www.jdpta.com，下同]和四川省生态环境厅官网“招考录用”栏目[http://sthjt.sc.gov.cn/，下同]发布。</w:t>
      </w:r>
    </w:p>
    <w:p>
      <w:pPr>
        <w:overflowPunct w:val="0"/>
        <w:topLinePunct/>
        <w:spacing w:line="600" w:lineRule="exact"/>
        <w:ind w:firstLine="640" w:firstLineChars="200"/>
        <w:rPr>
          <w:rFonts w:eastAsia="黑体"/>
          <w:sz w:val="32"/>
          <w:szCs w:val="32"/>
        </w:rPr>
      </w:pPr>
      <w:r>
        <w:rPr>
          <w:rFonts w:eastAsia="黑体"/>
          <w:sz w:val="32"/>
          <w:szCs w:val="32"/>
        </w:rPr>
        <w:t>一、招聘单位基本情况</w:t>
      </w:r>
    </w:p>
    <w:tbl>
      <w:tblPr>
        <w:tblStyle w:val="5"/>
        <w:tblW w:w="4992"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28" w:type="dxa"/>
          <w:bottom w:w="0" w:type="dxa"/>
          <w:right w:w="28" w:type="dxa"/>
        </w:tblCellMar>
      </w:tblPr>
      <w:tblGrid>
        <w:gridCol w:w="1255"/>
        <w:gridCol w:w="615"/>
        <w:gridCol w:w="1352"/>
        <w:gridCol w:w="56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28" w:type="dxa"/>
            <w:bottom w:w="0" w:type="dxa"/>
            <w:right w:w="28" w:type="dxa"/>
          </w:tblCellMar>
        </w:tblPrEx>
        <w:trPr>
          <w:trHeight w:val="989" w:hRule="atLeast"/>
          <w:tblHeader/>
          <w:jc w:val="center"/>
        </w:trPr>
        <w:tc>
          <w:tcPr>
            <w:tcW w:w="706" w:type="pct"/>
            <w:tcBorders>
              <w:top w:val="single" w:color="auto" w:sz="8" w:space="0"/>
              <w:left w:val="single" w:color="auto" w:sz="8" w:space="0"/>
              <w:bottom w:val="single" w:color="auto" w:sz="8" w:space="0"/>
              <w:right w:val="single" w:color="auto" w:sz="8" w:space="0"/>
            </w:tcBorders>
            <w:tcMar>
              <w:left w:w="28" w:type="dxa"/>
              <w:right w:w="28" w:type="dxa"/>
            </w:tcMar>
            <w:vAlign w:val="center"/>
          </w:tcPr>
          <w:p>
            <w:pPr>
              <w:overflowPunct w:val="0"/>
              <w:topLinePunct/>
              <w:spacing w:line="390" w:lineRule="exact"/>
              <w:jc w:val="center"/>
              <w:rPr>
                <w:rFonts w:eastAsia="黑体"/>
                <w:sz w:val="24"/>
                <w:szCs w:val="21"/>
              </w:rPr>
            </w:pPr>
            <w:r>
              <w:rPr>
                <w:rFonts w:eastAsia="黑体"/>
                <w:sz w:val="24"/>
                <w:szCs w:val="21"/>
              </w:rPr>
              <w:t>单位名称</w:t>
            </w:r>
          </w:p>
        </w:tc>
        <w:tc>
          <w:tcPr>
            <w:tcW w:w="346" w:type="pct"/>
            <w:tcBorders>
              <w:top w:val="single" w:color="auto" w:sz="8" w:space="0"/>
              <w:left w:val="nil"/>
              <w:bottom w:val="single" w:color="auto" w:sz="8" w:space="0"/>
              <w:right w:val="single" w:color="auto" w:sz="8" w:space="0"/>
            </w:tcBorders>
            <w:tcMar>
              <w:left w:w="28" w:type="dxa"/>
              <w:right w:w="28" w:type="dxa"/>
            </w:tcMar>
            <w:vAlign w:val="center"/>
          </w:tcPr>
          <w:p>
            <w:pPr>
              <w:overflowPunct w:val="0"/>
              <w:topLinePunct/>
              <w:spacing w:line="390" w:lineRule="exact"/>
              <w:jc w:val="center"/>
              <w:rPr>
                <w:rFonts w:eastAsia="黑体"/>
                <w:sz w:val="24"/>
                <w:szCs w:val="21"/>
              </w:rPr>
            </w:pPr>
            <w:r>
              <w:rPr>
                <w:rFonts w:eastAsia="黑体"/>
                <w:sz w:val="24"/>
                <w:szCs w:val="21"/>
              </w:rPr>
              <w:t>单位</w:t>
            </w:r>
          </w:p>
          <w:p>
            <w:pPr>
              <w:overflowPunct w:val="0"/>
              <w:topLinePunct/>
              <w:spacing w:line="390" w:lineRule="exact"/>
              <w:jc w:val="center"/>
              <w:rPr>
                <w:rFonts w:eastAsia="黑体"/>
                <w:sz w:val="24"/>
                <w:szCs w:val="21"/>
              </w:rPr>
            </w:pPr>
            <w:r>
              <w:rPr>
                <w:rFonts w:eastAsia="黑体"/>
                <w:sz w:val="24"/>
                <w:szCs w:val="21"/>
              </w:rPr>
              <w:t>性质</w:t>
            </w:r>
          </w:p>
        </w:tc>
        <w:tc>
          <w:tcPr>
            <w:tcW w:w="761" w:type="pct"/>
            <w:tcBorders>
              <w:top w:val="single" w:color="auto" w:sz="8" w:space="0"/>
              <w:left w:val="nil"/>
              <w:bottom w:val="single" w:color="auto" w:sz="8" w:space="0"/>
              <w:right w:val="single" w:color="auto" w:sz="8" w:space="0"/>
            </w:tcBorders>
            <w:tcMar>
              <w:left w:w="28" w:type="dxa"/>
              <w:right w:w="28" w:type="dxa"/>
            </w:tcMar>
            <w:vAlign w:val="center"/>
          </w:tcPr>
          <w:p>
            <w:pPr>
              <w:overflowPunct w:val="0"/>
              <w:topLinePunct/>
              <w:spacing w:line="390" w:lineRule="exact"/>
              <w:jc w:val="center"/>
              <w:rPr>
                <w:rFonts w:eastAsia="黑体"/>
                <w:sz w:val="24"/>
                <w:szCs w:val="21"/>
              </w:rPr>
            </w:pPr>
            <w:r>
              <w:rPr>
                <w:rFonts w:eastAsia="黑体"/>
                <w:sz w:val="24"/>
                <w:szCs w:val="21"/>
              </w:rPr>
              <w:t>单位地址</w:t>
            </w:r>
          </w:p>
        </w:tc>
        <w:tc>
          <w:tcPr>
            <w:tcW w:w="3187" w:type="pct"/>
            <w:tcBorders>
              <w:top w:val="single" w:color="auto" w:sz="8" w:space="0"/>
              <w:left w:val="nil"/>
              <w:bottom w:val="single" w:color="auto" w:sz="8" w:space="0"/>
              <w:right w:val="single" w:color="auto" w:sz="8" w:space="0"/>
            </w:tcBorders>
            <w:tcMar>
              <w:left w:w="28" w:type="dxa"/>
              <w:right w:w="28" w:type="dxa"/>
            </w:tcMar>
            <w:vAlign w:val="center"/>
          </w:tcPr>
          <w:p>
            <w:pPr>
              <w:overflowPunct w:val="0"/>
              <w:topLinePunct/>
              <w:spacing w:line="390" w:lineRule="exact"/>
              <w:jc w:val="center"/>
              <w:rPr>
                <w:rFonts w:eastAsia="黑体"/>
                <w:sz w:val="24"/>
                <w:szCs w:val="21"/>
              </w:rPr>
            </w:pPr>
            <w:r>
              <w:rPr>
                <w:rFonts w:eastAsia="黑体"/>
                <w:sz w:val="24"/>
                <w:szCs w:val="21"/>
              </w:rPr>
              <w:t>主要职能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28" w:type="dxa"/>
            <w:bottom w:w="0" w:type="dxa"/>
            <w:right w:w="28" w:type="dxa"/>
          </w:tblCellMar>
        </w:tblPrEx>
        <w:trPr>
          <w:trHeight w:val="2318" w:hRule="atLeast"/>
          <w:jc w:val="center"/>
        </w:trPr>
        <w:tc>
          <w:tcPr>
            <w:tcW w:w="706" w:type="pct"/>
            <w:tcBorders>
              <w:top w:val="nil"/>
              <w:left w:val="single" w:color="auto" w:sz="8" w:space="0"/>
              <w:bottom w:val="single" w:color="auto" w:sz="8" w:space="0"/>
              <w:right w:val="single" w:color="auto" w:sz="8" w:space="0"/>
            </w:tcBorders>
            <w:tcMar>
              <w:left w:w="28" w:type="dxa"/>
              <w:right w:w="28" w:type="dxa"/>
            </w:tcMar>
            <w:vAlign w:val="center"/>
          </w:tcPr>
          <w:p>
            <w:pPr>
              <w:overflowPunct w:val="0"/>
              <w:topLinePunct/>
              <w:spacing w:line="390" w:lineRule="exact"/>
              <w:jc w:val="center"/>
              <w:rPr>
                <w:rFonts w:eastAsia="仿宋_GB2312"/>
                <w:sz w:val="24"/>
                <w:szCs w:val="21"/>
              </w:rPr>
            </w:pPr>
            <w:r>
              <w:rPr>
                <w:rFonts w:eastAsia="仿宋_GB2312"/>
                <w:sz w:val="24"/>
                <w:szCs w:val="21"/>
              </w:rPr>
              <w:t>四川省生态环境科学研究院</w:t>
            </w:r>
          </w:p>
        </w:tc>
        <w:tc>
          <w:tcPr>
            <w:tcW w:w="346" w:type="pct"/>
            <w:tcBorders>
              <w:top w:val="nil"/>
              <w:left w:val="nil"/>
              <w:bottom w:val="single" w:color="auto" w:sz="8" w:space="0"/>
              <w:right w:val="single" w:color="auto" w:sz="8" w:space="0"/>
            </w:tcBorders>
            <w:tcMar>
              <w:left w:w="28" w:type="dxa"/>
              <w:right w:w="28" w:type="dxa"/>
            </w:tcMar>
            <w:vAlign w:val="center"/>
          </w:tcPr>
          <w:p>
            <w:pPr>
              <w:overflowPunct w:val="0"/>
              <w:topLinePunct/>
              <w:spacing w:line="390" w:lineRule="exact"/>
              <w:jc w:val="center"/>
              <w:rPr>
                <w:rFonts w:eastAsia="仿宋_GB2312"/>
                <w:sz w:val="24"/>
                <w:szCs w:val="21"/>
              </w:rPr>
            </w:pPr>
            <w:r>
              <w:rPr>
                <w:rFonts w:eastAsia="仿宋_GB2312"/>
                <w:sz w:val="24"/>
                <w:szCs w:val="21"/>
              </w:rPr>
              <w:t>公益二类</w:t>
            </w:r>
          </w:p>
        </w:tc>
        <w:tc>
          <w:tcPr>
            <w:tcW w:w="761" w:type="pct"/>
            <w:tcBorders>
              <w:top w:val="nil"/>
              <w:left w:val="nil"/>
              <w:bottom w:val="single" w:color="auto" w:sz="8" w:space="0"/>
              <w:right w:val="single" w:color="auto" w:sz="8" w:space="0"/>
            </w:tcBorders>
            <w:tcMar>
              <w:left w:w="28" w:type="dxa"/>
              <w:right w:w="28" w:type="dxa"/>
            </w:tcMar>
            <w:vAlign w:val="center"/>
          </w:tcPr>
          <w:p>
            <w:pPr>
              <w:overflowPunct w:val="0"/>
              <w:topLinePunct/>
              <w:spacing w:line="390" w:lineRule="exact"/>
              <w:jc w:val="center"/>
              <w:rPr>
                <w:rFonts w:eastAsia="仿宋_GB2312"/>
                <w:sz w:val="24"/>
                <w:szCs w:val="21"/>
              </w:rPr>
            </w:pPr>
            <w:r>
              <w:rPr>
                <w:rFonts w:eastAsia="仿宋_GB2312"/>
                <w:sz w:val="24"/>
                <w:szCs w:val="21"/>
              </w:rPr>
              <w:t>成都市人民南路四段18号</w:t>
            </w:r>
          </w:p>
        </w:tc>
        <w:tc>
          <w:tcPr>
            <w:tcW w:w="3187" w:type="pct"/>
            <w:tcBorders>
              <w:top w:val="nil"/>
              <w:left w:val="nil"/>
              <w:bottom w:val="single" w:color="auto" w:sz="8" w:space="0"/>
              <w:right w:val="single" w:color="auto" w:sz="8" w:space="0"/>
            </w:tcBorders>
            <w:tcMar>
              <w:left w:w="28" w:type="dxa"/>
              <w:right w:w="28" w:type="dxa"/>
            </w:tcMar>
            <w:vAlign w:val="center"/>
          </w:tcPr>
          <w:p>
            <w:pPr>
              <w:overflowPunct w:val="0"/>
              <w:topLinePunct/>
              <w:spacing w:line="390" w:lineRule="exact"/>
              <w:jc w:val="left"/>
              <w:rPr>
                <w:rFonts w:eastAsia="仿宋_GB2312"/>
                <w:sz w:val="24"/>
                <w:szCs w:val="21"/>
              </w:rPr>
            </w:pPr>
            <w:r>
              <w:rPr>
                <w:rFonts w:eastAsia="仿宋_GB2312"/>
                <w:sz w:val="24"/>
                <w:szCs w:val="21"/>
              </w:rPr>
              <w:t>主要负责研究评估生态环境质量、污染发展趋势、生态环境保护技术、政策、标准体系，编制生态环境保护规划，提供污染治理、生态恢复、水土保持等规划与设计及其他社会需求的环境科技服务。</w:t>
            </w:r>
          </w:p>
        </w:tc>
      </w:tr>
    </w:tbl>
    <w:p>
      <w:pPr>
        <w:overflowPunct w:val="0"/>
        <w:topLinePunct/>
        <w:spacing w:line="600" w:lineRule="exact"/>
        <w:ind w:firstLine="640" w:firstLineChars="200"/>
        <w:rPr>
          <w:rFonts w:eastAsia="黑体"/>
          <w:sz w:val="32"/>
          <w:szCs w:val="32"/>
        </w:rPr>
      </w:pPr>
      <w:r>
        <w:rPr>
          <w:rFonts w:eastAsia="黑体"/>
          <w:sz w:val="32"/>
          <w:szCs w:val="32"/>
        </w:rPr>
        <w:t>二、招聘对象、范围及基本条件</w:t>
      </w:r>
    </w:p>
    <w:p>
      <w:pPr>
        <w:overflowPunct w:val="0"/>
        <w:topLinePunct/>
        <w:spacing w:line="600" w:lineRule="exact"/>
        <w:ind w:firstLine="640" w:firstLineChars="200"/>
        <w:rPr>
          <w:rFonts w:eastAsia="楷体_GB2312"/>
          <w:sz w:val="32"/>
          <w:szCs w:val="32"/>
        </w:rPr>
      </w:pPr>
      <w:r>
        <w:rPr>
          <w:rFonts w:eastAsia="楷体_GB2312"/>
          <w:sz w:val="32"/>
          <w:szCs w:val="32"/>
        </w:rPr>
        <w:t>（一）招聘对象和范围。</w:t>
      </w:r>
    </w:p>
    <w:p>
      <w:pPr>
        <w:overflowPunct w:val="0"/>
        <w:topLinePunct/>
        <w:spacing w:line="520" w:lineRule="exact"/>
        <w:ind w:firstLine="640" w:firstLineChars="200"/>
        <w:rPr>
          <w:rFonts w:eastAsia="仿宋_GB2312"/>
          <w:sz w:val="32"/>
          <w:szCs w:val="32"/>
        </w:rPr>
      </w:pPr>
      <w:r>
        <w:rPr>
          <w:rFonts w:eastAsia="仿宋_GB2312"/>
          <w:sz w:val="32"/>
          <w:szCs w:val="32"/>
        </w:rPr>
        <w:t>面向全国公开考核招聘2024年10月31日前取得工程系列环境类专业高级工程师及以上专业技术职务任职资格，并取得研究生及以上学历和硕士及以上学位，且完全符合《四川省生态环境科学研究院2024年下半年公开考核招聘</w:t>
      </w:r>
      <w:r>
        <w:rPr>
          <w:rFonts w:hint="eastAsia" w:eastAsia="仿宋_GB2312"/>
          <w:color w:val="auto"/>
          <w:sz w:val="32"/>
          <w:szCs w:val="32"/>
        </w:rPr>
        <w:t>专业</w:t>
      </w:r>
      <w:r>
        <w:rPr>
          <w:rFonts w:eastAsia="仿宋_GB2312"/>
          <w:color w:val="auto"/>
          <w:sz w:val="32"/>
          <w:szCs w:val="32"/>
        </w:rPr>
        <w:t>技术</w:t>
      </w:r>
      <w:r>
        <w:rPr>
          <w:rFonts w:eastAsia="仿宋_GB2312"/>
          <w:sz w:val="32"/>
          <w:szCs w:val="32"/>
        </w:rPr>
        <w:t>人员岗位和条件要求一览表》（</w:t>
      </w:r>
      <w:r>
        <w:rPr>
          <w:rFonts w:hint="eastAsia" w:eastAsia="仿宋_GB2312"/>
          <w:sz w:val="32"/>
          <w:szCs w:val="32"/>
        </w:rPr>
        <w:t>详见</w:t>
      </w:r>
      <w:r>
        <w:rPr>
          <w:rFonts w:eastAsia="仿宋_GB2312"/>
          <w:sz w:val="32"/>
          <w:szCs w:val="32"/>
        </w:rPr>
        <w:t>附表</w:t>
      </w:r>
      <w:r>
        <w:rPr>
          <w:rFonts w:hint="eastAsia" w:eastAsia="仿宋_GB2312"/>
          <w:sz w:val="32"/>
          <w:szCs w:val="32"/>
        </w:rPr>
        <w:t>，以下简称《岗位和条件要求一览表》</w:t>
      </w:r>
      <w:r>
        <w:rPr>
          <w:rFonts w:eastAsia="仿宋_GB2312"/>
          <w:sz w:val="32"/>
          <w:szCs w:val="32"/>
        </w:rPr>
        <w:t>）相关岗位条件要求和本公告其他要求的人员。</w:t>
      </w:r>
      <w:r>
        <w:rPr>
          <w:rFonts w:eastAsia="仿宋_GB2312"/>
          <w:sz w:val="32"/>
          <w:szCs w:val="32"/>
          <w:shd w:val="clear" w:color="auto" w:fill="FFFFFF"/>
        </w:rPr>
        <w:t>未在规定时间取得并提供有关证书的，视为报考者自动放弃，责任自负。</w:t>
      </w:r>
      <w:r>
        <w:rPr>
          <w:rFonts w:eastAsia="仿宋_GB2312"/>
          <w:sz w:val="32"/>
          <w:szCs w:val="32"/>
        </w:rPr>
        <w:t>机关事业单位在编工作人员，需提交具有人事管理权限单位出具的同意报考证明。</w:t>
      </w:r>
    </w:p>
    <w:p>
      <w:pPr>
        <w:overflowPunct w:val="0"/>
        <w:topLinePunct/>
        <w:spacing w:line="520" w:lineRule="exact"/>
        <w:ind w:firstLine="640" w:firstLineChars="200"/>
        <w:rPr>
          <w:rFonts w:eastAsia="楷体_GB2312"/>
          <w:sz w:val="32"/>
          <w:szCs w:val="32"/>
        </w:rPr>
      </w:pPr>
      <w:r>
        <w:rPr>
          <w:rFonts w:eastAsia="楷体_GB2312"/>
          <w:sz w:val="32"/>
          <w:szCs w:val="32"/>
        </w:rPr>
        <w:t>（二）基本条件</w:t>
      </w:r>
    </w:p>
    <w:p>
      <w:pPr>
        <w:overflowPunct w:val="0"/>
        <w:topLinePunct/>
        <w:spacing w:line="520" w:lineRule="exact"/>
        <w:ind w:firstLine="787" w:firstLineChars="246"/>
        <w:rPr>
          <w:rFonts w:eastAsia="仿宋_GB2312"/>
          <w:sz w:val="32"/>
          <w:szCs w:val="32"/>
        </w:rPr>
      </w:pPr>
      <w:r>
        <w:rPr>
          <w:rFonts w:eastAsia="仿宋_GB2312"/>
          <w:sz w:val="32"/>
          <w:szCs w:val="32"/>
        </w:rPr>
        <w:t>1.报考者应同时具备的条件：</w:t>
      </w:r>
    </w:p>
    <w:p>
      <w:pPr>
        <w:overflowPunct w:val="0"/>
        <w:topLinePunct/>
        <w:spacing w:line="520" w:lineRule="exact"/>
        <w:ind w:firstLine="640" w:firstLineChars="200"/>
        <w:rPr>
          <w:rFonts w:eastAsia="仿宋_GB2312"/>
          <w:sz w:val="32"/>
          <w:szCs w:val="32"/>
        </w:rPr>
      </w:pPr>
      <w:r>
        <w:rPr>
          <w:rFonts w:eastAsia="仿宋_GB2312"/>
          <w:sz w:val="32"/>
          <w:szCs w:val="32"/>
        </w:rPr>
        <w:t>（1）具有中华人民共和国国籍，热爱祖国，拥护中华人民共和国宪法，拥护中国共产党，遵纪守法，品行端正，有良好的职业道德，爱岗敬业，事业心和责任感强。</w:t>
      </w:r>
    </w:p>
    <w:p>
      <w:pPr>
        <w:overflowPunct w:val="0"/>
        <w:topLinePunct/>
        <w:spacing w:line="520" w:lineRule="exact"/>
        <w:ind w:firstLine="640" w:firstLineChars="200"/>
        <w:rPr>
          <w:rFonts w:eastAsia="仿宋_GB2312"/>
          <w:sz w:val="32"/>
          <w:szCs w:val="32"/>
        </w:rPr>
      </w:pPr>
      <w:r>
        <w:rPr>
          <w:rFonts w:eastAsia="仿宋_GB2312"/>
          <w:sz w:val="32"/>
          <w:szCs w:val="32"/>
        </w:rPr>
        <w:t>（2）身体健康，体检合格，能正常履行招聘岗位职责。</w:t>
      </w:r>
    </w:p>
    <w:p>
      <w:pPr>
        <w:overflowPunct w:val="0"/>
        <w:topLinePunct/>
        <w:spacing w:line="520" w:lineRule="exact"/>
        <w:ind w:firstLine="640" w:firstLineChars="200"/>
        <w:rPr>
          <w:rFonts w:eastAsia="仿宋_GB2312"/>
          <w:sz w:val="32"/>
          <w:szCs w:val="32"/>
        </w:rPr>
      </w:pPr>
      <w:r>
        <w:rPr>
          <w:rFonts w:eastAsia="仿宋_GB2312"/>
          <w:sz w:val="32"/>
          <w:szCs w:val="32"/>
        </w:rPr>
        <w:t>（3）具备本公告具体招聘岗位要求的条件和资格（详见</w:t>
      </w:r>
      <w:r>
        <w:rPr>
          <w:rFonts w:hint="eastAsia" w:eastAsia="仿宋_GB2312"/>
          <w:sz w:val="32"/>
          <w:szCs w:val="32"/>
        </w:rPr>
        <w:t>《岗位和条件要求一览表》</w:t>
      </w:r>
      <w:r>
        <w:rPr>
          <w:rFonts w:eastAsia="仿宋_GB2312"/>
          <w:sz w:val="32"/>
          <w:szCs w:val="32"/>
        </w:rPr>
        <w:t>）。其中，报考者本人有效专业技术职称证书所载职称及专业，应与拟报考岗位的“职称”和“职称专业要求”分别相符；报考者本人有效毕业证所载学历和所获专业名称，应与拟报考岗位的“学历”和“专业条件要求”两栏分别相符；报考者本人有效学位证上的学位，应与拟报考岗位的“学位”资格要求相符。</w:t>
      </w:r>
    </w:p>
    <w:p>
      <w:pPr>
        <w:overflowPunct w:val="0"/>
        <w:topLinePunct/>
        <w:spacing w:line="600" w:lineRule="exact"/>
        <w:ind w:firstLine="640" w:firstLineChars="200"/>
        <w:rPr>
          <w:rFonts w:eastAsia="仿宋_GB2312"/>
          <w:sz w:val="32"/>
          <w:szCs w:val="32"/>
        </w:rPr>
      </w:pPr>
      <w:r>
        <w:rPr>
          <w:rFonts w:eastAsia="仿宋_GB2312"/>
          <w:sz w:val="32"/>
          <w:szCs w:val="32"/>
        </w:rPr>
        <w:t>2．有下列情况之一者，不得报考：</w:t>
      </w:r>
    </w:p>
    <w:p>
      <w:pPr>
        <w:overflowPunct w:val="0"/>
        <w:topLinePunct/>
        <w:spacing w:line="600" w:lineRule="exact"/>
        <w:ind w:firstLine="640" w:firstLineChars="200"/>
        <w:rPr>
          <w:rFonts w:eastAsia="仿宋_GB2312"/>
          <w:sz w:val="32"/>
          <w:szCs w:val="32"/>
        </w:rPr>
      </w:pPr>
      <w:r>
        <w:rPr>
          <w:rFonts w:eastAsia="仿宋_GB2312"/>
          <w:sz w:val="32"/>
          <w:szCs w:val="32"/>
        </w:rPr>
        <w:t>（1）因犯罪受过刑事处罚的；</w:t>
      </w:r>
    </w:p>
    <w:p>
      <w:pPr>
        <w:overflowPunct w:val="0"/>
        <w:topLinePunct/>
        <w:spacing w:line="600" w:lineRule="exact"/>
        <w:ind w:firstLine="640" w:firstLineChars="200"/>
        <w:rPr>
          <w:rFonts w:eastAsia="仿宋_GB2312"/>
          <w:sz w:val="32"/>
          <w:szCs w:val="32"/>
        </w:rPr>
      </w:pPr>
      <w:r>
        <w:rPr>
          <w:rFonts w:eastAsia="仿宋_GB2312"/>
          <w:sz w:val="32"/>
          <w:szCs w:val="32"/>
        </w:rPr>
        <w:t>（2）被开除中国共产党党籍的；</w:t>
      </w:r>
    </w:p>
    <w:p>
      <w:pPr>
        <w:overflowPunct w:val="0"/>
        <w:topLinePunct/>
        <w:spacing w:line="600" w:lineRule="exact"/>
        <w:ind w:firstLine="640" w:firstLineChars="200"/>
        <w:rPr>
          <w:rFonts w:eastAsia="仿宋_GB2312"/>
          <w:sz w:val="32"/>
          <w:szCs w:val="32"/>
        </w:rPr>
      </w:pPr>
      <w:r>
        <w:rPr>
          <w:rFonts w:eastAsia="仿宋_GB2312"/>
          <w:sz w:val="32"/>
          <w:szCs w:val="32"/>
        </w:rPr>
        <w:t>（3）被开除公职的；</w:t>
      </w:r>
    </w:p>
    <w:p>
      <w:pPr>
        <w:overflowPunct w:val="0"/>
        <w:topLinePunct/>
        <w:spacing w:line="600" w:lineRule="exact"/>
        <w:ind w:firstLine="640" w:firstLineChars="200"/>
        <w:rPr>
          <w:rFonts w:eastAsia="仿宋_GB2312"/>
          <w:sz w:val="32"/>
          <w:szCs w:val="32"/>
        </w:rPr>
      </w:pPr>
      <w:r>
        <w:rPr>
          <w:rFonts w:eastAsia="仿宋_GB2312"/>
          <w:sz w:val="32"/>
          <w:szCs w:val="32"/>
        </w:rPr>
        <w:t>（4）有违法、违纪行为正在接受审查的；</w:t>
      </w:r>
    </w:p>
    <w:p>
      <w:pPr>
        <w:overflowPunct w:val="0"/>
        <w:topLinePunct/>
        <w:spacing w:line="600" w:lineRule="exact"/>
        <w:ind w:firstLine="640" w:firstLineChars="200"/>
        <w:rPr>
          <w:rFonts w:eastAsia="仿宋_GB2312"/>
          <w:sz w:val="32"/>
          <w:szCs w:val="32"/>
        </w:rPr>
      </w:pPr>
      <w:r>
        <w:rPr>
          <w:rFonts w:eastAsia="仿宋_GB2312"/>
          <w:sz w:val="32"/>
          <w:szCs w:val="32"/>
        </w:rPr>
        <w:t>（5）尚未解除党纪、政纪处分的；</w:t>
      </w:r>
    </w:p>
    <w:p>
      <w:pPr>
        <w:overflowPunct w:val="0"/>
        <w:topLinePunct/>
        <w:spacing w:line="600" w:lineRule="exact"/>
        <w:ind w:firstLine="640" w:firstLineChars="200"/>
        <w:rPr>
          <w:rFonts w:eastAsia="仿宋_GB2312"/>
          <w:sz w:val="32"/>
          <w:szCs w:val="32"/>
        </w:rPr>
      </w:pPr>
      <w:r>
        <w:rPr>
          <w:rFonts w:eastAsia="仿宋_GB2312"/>
          <w:sz w:val="32"/>
          <w:szCs w:val="32"/>
        </w:rPr>
        <w:t>（6）按照《</w:t>
      </w:r>
      <w:r>
        <w:fldChar w:fldCharType="begin"/>
      </w:r>
      <w:r>
        <w:instrText xml:space="preserve"> HYPERLINK "http://202.61.89.231/news/content.aspx?nid=138&amp;t=2" </w:instrText>
      </w:r>
      <w:r>
        <w:fldChar w:fldCharType="separate"/>
      </w:r>
      <w:r>
        <w:rPr>
          <w:rFonts w:eastAsia="仿宋_GB2312"/>
          <w:sz w:val="32"/>
          <w:szCs w:val="32"/>
        </w:rPr>
        <w:t>事业单位公开招聘人员暂行规定</w:t>
      </w:r>
      <w:r>
        <w:rPr>
          <w:rFonts w:eastAsia="仿宋_GB2312"/>
          <w:sz w:val="32"/>
          <w:szCs w:val="32"/>
        </w:rPr>
        <w:fldChar w:fldCharType="end"/>
      </w:r>
      <w:r>
        <w:rPr>
          <w:rFonts w:eastAsia="仿宋_GB2312"/>
          <w:sz w:val="32"/>
          <w:szCs w:val="32"/>
        </w:rPr>
        <w:t>》和《四川省事业单位公开招聘工作人员实施办法》的相关规定应当回避的；</w:t>
      </w:r>
    </w:p>
    <w:p>
      <w:pPr>
        <w:overflowPunct w:val="0"/>
        <w:topLinePunct/>
        <w:spacing w:line="600" w:lineRule="exact"/>
        <w:ind w:firstLine="640" w:firstLineChars="200"/>
        <w:rPr>
          <w:rFonts w:eastAsia="仿宋_GB2312"/>
          <w:sz w:val="32"/>
          <w:szCs w:val="32"/>
        </w:rPr>
      </w:pPr>
      <w:r>
        <w:rPr>
          <w:rFonts w:eastAsia="仿宋_GB2312"/>
          <w:sz w:val="32"/>
          <w:szCs w:val="32"/>
        </w:rPr>
        <w:t>（7）尚处于试用期内的新录用公务员或事业单位工作人员，以及未满服务年限的人员；</w:t>
      </w:r>
    </w:p>
    <w:p>
      <w:pPr>
        <w:overflowPunct w:val="0"/>
        <w:topLinePunct/>
        <w:spacing w:line="600" w:lineRule="exact"/>
        <w:ind w:firstLine="640" w:firstLineChars="200"/>
        <w:rPr>
          <w:rFonts w:eastAsia="仿宋_GB2312"/>
          <w:sz w:val="32"/>
          <w:szCs w:val="32"/>
        </w:rPr>
      </w:pPr>
      <w:r>
        <w:rPr>
          <w:rFonts w:eastAsia="仿宋_GB2312"/>
          <w:sz w:val="32"/>
          <w:szCs w:val="32"/>
        </w:rPr>
        <w:t>（8）按照《关于加快推进失信被执行人信用监督、警示和惩戒机制建设的意见》规定，由人民法院通过司法程序认定的失信被执行人；其他政策法规明确不得招聘为事业单位工作人员的失信人员；</w:t>
      </w:r>
    </w:p>
    <w:p>
      <w:pPr>
        <w:overflowPunct w:val="0"/>
        <w:topLinePunct/>
        <w:spacing w:line="600" w:lineRule="exact"/>
        <w:ind w:firstLine="640" w:firstLineChars="200"/>
        <w:rPr>
          <w:rFonts w:eastAsia="仿宋_GB2312"/>
          <w:sz w:val="32"/>
          <w:szCs w:val="32"/>
        </w:rPr>
      </w:pPr>
      <w:r>
        <w:rPr>
          <w:rFonts w:eastAsia="仿宋_GB2312"/>
          <w:sz w:val="32"/>
          <w:szCs w:val="32"/>
        </w:rPr>
        <w:t>（9）法律法规等规定的其他不能报考事业单位的情形。</w:t>
      </w:r>
    </w:p>
    <w:p>
      <w:pPr>
        <w:overflowPunct w:val="0"/>
        <w:topLinePunct/>
        <w:spacing w:line="600" w:lineRule="exact"/>
        <w:ind w:firstLine="640" w:firstLineChars="200"/>
        <w:rPr>
          <w:rFonts w:eastAsia="黑体"/>
          <w:sz w:val="32"/>
          <w:szCs w:val="32"/>
        </w:rPr>
      </w:pPr>
      <w:r>
        <w:rPr>
          <w:rFonts w:eastAsia="黑体"/>
          <w:sz w:val="32"/>
          <w:szCs w:val="32"/>
        </w:rPr>
        <w:t>三、公开考核招聘名额</w:t>
      </w:r>
    </w:p>
    <w:p>
      <w:pPr>
        <w:overflowPunct w:val="0"/>
        <w:topLinePunct/>
        <w:spacing w:line="600" w:lineRule="exact"/>
        <w:ind w:firstLine="640" w:firstLineChars="200"/>
        <w:rPr>
          <w:rFonts w:eastAsia="仿宋_GB2312"/>
          <w:sz w:val="32"/>
          <w:szCs w:val="32"/>
        </w:rPr>
      </w:pPr>
      <w:r>
        <w:rPr>
          <w:rFonts w:eastAsia="仿宋_GB2312"/>
          <w:sz w:val="32"/>
          <w:szCs w:val="32"/>
        </w:rPr>
        <w:t>本次招聘均在我单位经批准设置的岗位内招聘，招聘名额为5名，具体岗位</w:t>
      </w:r>
      <w:r>
        <w:rPr>
          <w:rFonts w:hint="eastAsia" w:eastAsia="仿宋_GB2312"/>
          <w:sz w:val="32"/>
          <w:szCs w:val="32"/>
        </w:rPr>
        <w:t>详</w:t>
      </w:r>
      <w:r>
        <w:rPr>
          <w:rFonts w:eastAsia="仿宋_GB2312"/>
          <w:sz w:val="32"/>
          <w:szCs w:val="32"/>
        </w:rPr>
        <w:t>见</w:t>
      </w:r>
      <w:r>
        <w:rPr>
          <w:rFonts w:hint="eastAsia" w:eastAsia="仿宋_GB2312"/>
          <w:sz w:val="32"/>
          <w:szCs w:val="32"/>
        </w:rPr>
        <w:t>《岗位和条件要求一览表》</w:t>
      </w:r>
      <w:r>
        <w:rPr>
          <w:rFonts w:eastAsia="仿宋_GB2312"/>
          <w:sz w:val="32"/>
          <w:szCs w:val="32"/>
        </w:rPr>
        <w:t>。</w:t>
      </w:r>
    </w:p>
    <w:p>
      <w:pPr>
        <w:overflowPunct w:val="0"/>
        <w:topLinePunct/>
        <w:spacing w:line="600" w:lineRule="exact"/>
        <w:ind w:firstLine="640" w:firstLineChars="200"/>
        <w:rPr>
          <w:rFonts w:eastAsia="楷体_GB2312"/>
          <w:sz w:val="32"/>
          <w:szCs w:val="32"/>
        </w:rPr>
      </w:pPr>
      <w:r>
        <w:rPr>
          <w:rFonts w:eastAsia="黑体"/>
          <w:sz w:val="32"/>
          <w:szCs w:val="32"/>
        </w:rPr>
        <w:t>四、网上报名</w:t>
      </w:r>
    </w:p>
    <w:p>
      <w:pPr>
        <w:overflowPunct w:val="0"/>
        <w:topLinePunct/>
        <w:spacing w:line="600" w:lineRule="exact"/>
        <w:ind w:firstLine="640" w:firstLineChars="200"/>
        <w:rPr>
          <w:rFonts w:eastAsia="仿宋_GB2312"/>
          <w:sz w:val="32"/>
          <w:szCs w:val="32"/>
          <w:highlight w:val="yellow"/>
        </w:rPr>
      </w:pPr>
      <w:r>
        <w:rPr>
          <w:rFonts w:eastAsia="仿宋_GB2312"/>
          <w:sz w:val="32"/>
          <w:szCs w:val="32"/>
        </w:rPr>
        <w:t>本次公开考核招聘的报名仅采用网络报名方式进行，不组织现场报名。报名网站为四川省人力资源和社会保障厅官网“人事人才测评服务”专栏（https://www.jdpta.com），</w:t>
      </w:r>
      <w:r>
        <w:rPr>
          <w:rFonts w:eastAsia="仿宋_GB2312"/>
          <w:sz w:val="32"/>
          <w:szCs w:val="32"/>
          <w:highlight w:val="none"/>
        </w:rPr>
        <w:t>报名时间为2024年11月</w:t>
      </w:r>
      <w:r>
        <w:rPr>
          <w:rFonts w:hint="eastAsia" w:eastAsia="仿宋_GB2312"/>
          <w:sz w:val="32"/>
          <w:szCs w:val="32"/>
          <w:highlight w:val="none"/>
        </w:rPr>
        <w:t>1</w:t>
      </w:r>
      <w:r>
        <w:rPr>
          <w:rFonts w:eastAsia="仿宋_GB2312"/>
          <w:sz w:val="32"/>
          <w:szCs w:val="32"/>
          <w:highlight w:val="none"/>
        </w:rPr>
        <w:t>8日10</w:t>
      </w:r>
      <w:r>
        <w:rPr>
          <w:rFonts w:hint="eastAsia" w:eastAsia="仿宋_GB2312"/>
          <w:sz w:val="32"/>
          <w:szCs w:val="32"/>
          <w:highlight w:val="none"/>
        </w:rPr>
        <w:t>：</w:t>
      </w:r>
      <w:r>
        <w:rPr>
          <w:rFonts w:eastAsia="仿宋_GB2312"/>
          <w:sz w:val="32"/>
          <w:szCs w:val="32"/>
          <w:highlight w:val="none"/>
        </w:rPr>
        <w:t>00至11月22日17</w:t>
      </w:r>
      <w:r>
        <w:rPr>
          <w:rFonts w:hint="eastAsia" w:eastAsia="仿宋_GB2312"/>
          <w:sz w:val="32"/>
          <w:szCs w:val="32"/>
          <w:highlight w:val="none"/>
        </w:rPr>
        <w:t>：</w:t>
      </w:r>
      <w:r>
        <w:rPr>
          <w:rFonts w:eastAsia="仿宋_GB2312"/>
          <w:sz w:val="32"/>
          <w:szCs w:val="32"/>
          <w:highlight w:val="none"/>
        </w:rPr>
        <w:t>00。</w:t>
      </w:r>
    </w:p>
    <w:p>
      <w:pPr>
        <w:overflowPunct w:val="0"/>
        <w:topLinePunct/>
        <w:spacing w:line="520" w:lineRule="exact"/>
        <w:ind w:firstLine="640" w:firstLineChars="200"/>
        <w:rPr>
          <w:rFonts w:eastAsia="楷体_GB2312"/>
          <w:sz w:val="32"/>
          <w:szCs w:val="32"/>
        </w:rPr>
      </w:pPr>
      <w:r>
        <w:rPr>
          <w:rFonts w:eastAsia="楷体_GB2312"/>
          <w:sz w:val="32"/>
          <w:szCs w:val="32"/>
        </w:rPr>
        <w:t>（一）报名</w:t>
      </w:r>
    </w:p>
    <w:p>
      <w:pPr>
        <w:overflowPunct w:val="0"/>
        <w:topLinePunct/>
        <w:spacing w:line="520" w:lineRule="exact"/>
        <w:ind w:firstLine="640" w:firstLineChars="200"/>
        <w:rPr>
          <w:rFonts w:eastAsia="仿宋_GB2312"/>
          <w:sz w:val="32"/>
          <w:szCs w:val="32"/>
        </w:rPr>
      </w:pPr>
      <w:r>
        <w:rPr>
          <w:rFonts w:eastAsia="仿宋_GB2312"/>
          <w:sz w:val="32"/>
          <w:szCs w:val="32"/>
        </w:rPr>
        <w:t>1.报名须知。报考者登录报名网站后，请认真阅读本公告，详细了解招聘对象、范围、条件以及有关政策规定和有关注意事项等，根据自身情况选择完全符合报考条件的一个岗位报名。</w:t>
      </w:r>
    </w:p>
    <w:p>
      <w:pPr>
        <w:overflowPunct w:val="0"/>
        <w:topLinePunct/>
        <w:spacing w:line="520" w:lineRule="exact"/>
        <w:ind w:firstLine="640" w:firstLineChars="200"/>
        <w:rPr>
          <w:rFonts w:eastAsia="仿宋_GB2312"/>
          <w:sz w:val="32"/>
          <w:szCs w:val="32"/>
        </w:rPr>
      </w:pPr>
      <w:r>
        <w:rPr>
          <w:rFonts w:eastAsia="仿宋_GB2312"/>
          <w:sz w:val="32"/>
          <w:szCs w:val="32"/>
        </w:rPr>
        <w:t>本次公开考核招聘我单位不进行网上资格审查，考生在报名前对本公告内容有不清楚的，可拨打本公告后所列</w:t>
      </w:r>
      <w:r>
        <w:rPr>
          <w:rFonts w:eastAsia="仿宋_GB2312"/>
          <w:color w:val="auto"/>
          <w:sz w:val="32"/>
          <w:szCs w:val="32"/>
        </w:rPr>
        <w:t>“咨询电话”</w:t>
      </w:r>
      <w:r>
        <w:rPr>
          <w:rFonts w:eastAsia="仿宋_GB2312"/>
          <w:sz w:val="32"/>
          <w:szCs w:val="32"/>
        </w:rPr>
        <w:t>向我单位进行咨询。报考者最终是否符合所报岗位条件要求由我单位负责的面试资格审查、考察中的复核和审核确认的结果最终确定。</w:t>
      </w:r>
    </w:p>
    <w:p>
      <w:pPr>
        <w:overflowPunct w:val="0"/>
        <w:topLinePunct/>
        <w:spacing w:line="520" w:lineRule="exact"/>
        <w:ind w:firstLine="640" w:firstLineChars="200"/>
        <w:rPr>
          <w:rFonts w:eastAsia="仿宋_GB2312"/>
          <w:sz w:val="32"/>
          <w:szCs w:val="32"/>
        </w:rPr>
      </w:pPr>
      <w:r>
        <w:rPr>
          <w:rFonts w:eastAsia="仿宋_GB2312"/>
          <w:sz w:val="32"/>
          <w:szCs w:val="32"/>
        </w:rPr>
        <w:t>在招聘的任何环节发现报考者不符合报考条件、弄虚作假、违反回避制度等，报考或聘用资格一律无效，责任由报考者自负。</w:t>
      </w:r>
    </w:p>
    <w:p>
      <w:pPr>
        <w:overflowPunct w:val="0"/>
        <w:topLinePunct/>
        <w:spacing w:line="520" w:lineRule="exact"/>
        <w:ind w:firstLine="640" w:firstLineChars="200"/>
        <w:rPr>
          <w:rFonts w:eastAsia="仿宋_GB2312"/>
          <w:sz w:val="32"/>
          <w:szCs w:val="32"/>
        </w:rPr>
      </w:pPr>
      <w:r>
        <w:rPr>
          <w:rFonts w:eastAsia="仿宋_GB2312"/>
          <w:sz w:val="32"/>
          <w:szCs w:val="32"/>
        </w:rPr>
        <w:t>2.填报信息。按网络提示进行注册（在四川人社在线公共服务平台上已注册过的可直接登录报名；未注册过的请先下载四川人社APP完成注册后再登录报名。忘记密码的可查看四川省人力资源和社会保障厅人事人才测评服务专栏“常见问题”中的方式予以找回），如实、准确填写《四川省生态环境科学研究院2024年公开考核招聘专业技术人员</w:t>
      </w:r>
      <w:r>
        <w:rPr>
          <w:rFonts w:hint="eastAsia" w:eastAsia="仿宋_GB2312"/>
          <w:sz w:val="32"/>
          <w:szCs w:val="32"/>
          <w:lang w:eastAsia="zh-CN"/>
        </w:rPr>
        <w:t>报考</w:t>
      </w:r>
      <w:r>
        <w:rPr>
          <w:rFonts w:eastAsia="仿宋_GB2312"/>
          <w:sz w:val="32"/>
          <w:szCs w:val="32"/>
        </w:rPr>
        <w:t>信息表》（以下简称《报考信息表》）的各项内容，同时按网络提示上传电子照片须为本人近期正面免冠白底彩色头像证件照（首先在报名信息表上传照片处下载《照片审核处理工具》，经《照片审核处理工具》处理成功后上传）。</w:t>
      </w:r>
    </w:p>
    <w:p>
      <w:pPr>
        <w:overflowPunct w:val="0"/>
        <w:topLinePunct/>
        <w:spacing w:line="520" w:lineRule="exact"/>
        <w:ind w:firstLine="640" w:firstLineChars="200"/>
        <w:rPr>
          <w:rFonts w:eastAsia="仿宋_GB2312"/>
          <w:sz w:val="32"/>
          <w:szCs w:val="32"/>
        </w:rPr>
      </w:pPr>
      <w:r>
        <w:rPr>
          <w:rFonts w:eastAsia="仿宋_GB2312"/>
          <w:sz w:val="32"/>
          <w:szCs w:val="32"/>
        </w:rPr>
        <w:t>提示:报考者填写《报考信息表》时，所填专业须与本人毕业证上所载专业名称完全一致。报考者填写《报考信息表》各项内容后应认真核对，确认无误后提交。《报考信息表》</w:t>
      </w:r>
      <w:r>
        <w:rPr>
          <w:rFonts w:hint="eastAsia" w:eastAsia="仿宋_GB2312"/>
          <w:sz w:val="32"/>
          <w:szCs w:val="32"/>
        </w:rPr>
        <w:t>一旦提交，将不予修改，</w:t>
      </w:r>
      <w:r>
        <w:rPr>
          <w:rFonts w:eastAsia="仿宋_GB2312"/>
          <w:sz w:val="32"/>
          <w:szCs w:val="32"/>
        </w:rPr>
        <w:t>如因填写错误、不完整、不准确造成资格审查不通过的，由报考者承担相应结果。</w:t>
      </w:r>
    </w:p>
    <w:p>
      <w:pPr>
        <w:overflowPunct w:val="0"/>
        <w:topLinePunct/>
        <w:spacing w:line="520" w:lineRule="exact"/>
        <w:ind w:firstLine="640" w:firstLineChars="200"/>
        <w:rPr>
          <w:rFonts w:eastAsia="仿宋_GB2312"/>
          <w:sz w:val="32"/>
          <w:szCs w:val="32"/>
        </w:rPr>
      </w:pPr>
      <w:r>
        <w:rPr>
          <w:rFonts w:eastAsia="仿宋_GB2312"/>
          <w:sz w:val="32"/>
          <w:szCs w:val="32"/>
        </w:rPr>
        <w:t>报考者应对填报的信息负责，在填报信息前须签订诚信承诺书，承诺自己所填报的所有信息真实可靠、准确无误，并自觉遵守人事考试的有关规定。报考者如隐瞒有关情况或者提供虚假材料，一经查实，取消其报考或聘用资格，并由报考者承担相应损失。</w:t>
      </w:r>
    </w:p>
    <w:p>
      <w:pPr>
        <w:overflowPunct w:val="0"/>
        <w:topLinePunct/>
        <w:spacing w:line="520" w:lineRule="exact"/>
        <w:ind w:firstLine="640" w:firstLineChars="200"/>
        <w:rPr>
          <w:rFonts w:eastAsia="楷体_GB2312"/>
          <w:sz w:val="32"/>
          <w:szCs w:val="32"/>
        </w:rPr>
      </w:pPr>
      <w:r>
        <w:rPr>
          <w:rFonts w:eastAsia="楷体_GB2312"/>
          <w:sz w:val="32"/>
          <w:szCs w:val="32"/>
        </w:rPr>
        <w:t>（二）打印报名表</w:t>
      </w:r>
    </w:p>
    <w:p>
      <w:pPr>
        <w:overflowPunct w:val="0"/>
        <w:topLinePunct/>
        <w:spacing w:line="520" w:lineRule="exact"/>
        <w:ind w:firstLine="640" w:firstLineChars="200"/>
        <w:rPr>
          <w:rFonts w:eastAsia="仿宋_GB2312"/>
          <w:sz w:val="32"/>
          <w:szCs w:val="32"/>
        </w:rPr>
      </w:pPr>
      <w:r>
        <w:rPr>
          <w:rFonts w:eastAsia="仿宋_GB2312"/>
          <w:sz w:val="32"/>
          <w:szCs w:val="32"/>
        </w:rPr>
        <w:t>上传相片合格的报考者，应及时登录四川省人力资源和社会保障厅官网“人事人才测评服务”专栏，按网络提示打印《报考信息表》二份，供面试资格审查时使用。</w:t>
      </w:r>
    </w:p>
    <w:p>
      <w:pPr>
        <w:overflowPunct w:val="0"/>
        <w:topLinePunct/>
        <w:spacing w:line="520" w:lineRule="exact"/>
        <w:ind w:firstLine="640" w:firstLineChars="200"/>
        <w:rPr>
          <w:rFonts w:eastAsia="黑体"/>
          <w:sz w:val="32"/>
          <w:szCs w:val="32"/>
        </w:rPr>
      </w:pPr>
      <w:r>
        <w:rPr>
          <w:rFonts w:eastAsia="黑体"/>
          <w:sz w:val="32"/>
          <w:szCs w:val="32"/>
        </w:rPr>
        <w:t>五、考核</w:t>
      </w:r>
    </w:p>
    <w:p>
      <w:pPr>
        <w:overflowPunct w:val="0"/>
        <w:topLinePunct/>
        <w:spacing w:line="520" w:lineRule="exact"/>
        <w:ind w:firstLine="640" w:firstLineChars="200"/>
        <w:rPr>
          <w:rFonts w:hint="eastAsia" w:eastAsia="仿宋_GB2312"/>
          <w:sz w:val="32"/>
          <w:szCs w:val="32"/>
        </w:rPr>
      </w:pPr>
      <w:r>
        <w:rPr>
          <w:rFonts w:hint="eastAsia" w:eastAsia="仿宋_GB2312"/>
          <w:sz w:val="32"/>
          <w:szCs w:val="32"/>
        </w:rPr>
        <w:t>对报考考生采取面试方式进行综合考核，重点考核应聘者的专业知识、适岗能力、职业道德等。考核成绩即面试成绩。</w:t>
      </w:r>
    </w:p>
    <w:p>
      <w:pPr>
        <w:overflowPunct w:val="0"/>
        <w:topLinePunct/>
        <w:spacing w:line="520" w:lineRule="exact"/>
        <w:ind w:firstLine="640" w:firstLineChars="200"/>
        <w:rPr>
          <w:rFonts w:hint="eastAsia" w:eastAsia="仿宋_GB2312"/>
          <w:sz w:val="32"/>
          <w:szCs w:val="32"/>
        </w:rPr>
      </w:pPr>
      <w:r>
        <w:rPr>
          <w:rFonts w:hint="eastAsia" w:eastAsia="仿宋_GB2312"/>
          <w:sz w:val="32"/>
          <w:szCs w:val="32"/>
        </w:rPr>
        <w:t>若相关岗位的报名人数与招聘人数之比超过5:1，则该岗位先进行专业能力测试，再进行面试。考核成绩计算原则为：总成绩=专业能力测试成绩×40%+面试成绩×60%。</w:t>
      </w:r>
    </w:p>
    <w:p>
      <w:pPr>
        <w:overflowPunct w:val="0"/>
        <w:topLinePunct/>
        <w:spacing w:line="520" w:lineRule="exact"/>
        <w:ind w:firstLine="640" w:firstLineChars="200"/>
        <w:rPr>
          <w:rFonts w:eastAsia="仿宋_GB2312"/>
          <w:sz w:val="32"/>
          <w:szCs w:val="32"/>
        </w:rPr>
      </w:pPr>
      <w:r>
        <w:rPr>
          <w:rFonts w:hint="eastAsia" w:eastAsia="仿宋_GB2312"/>
          <w:sz w:val="32"/>
          <w:szCs w:val="32"/>
        </w:rPr>
        <w:t>报名截止后，我单位将于2024年11月27日在发布本公告网站上公布各岗位报名人数，并明确各岗位考核方式及相关时间。不再另行通知，请报考者注意查阅。</w:t>
      </w:r>
    </w:p>
    <w:p>
      <w:pPr>
        <w:overflowPunct w:val="0"/>
        <w:topLinePunct/>
        <w:spacing w:line="520" w:lineRule="exact"/>
        <w:ind w:firstLine="640" w:firstLineChars="200"/>
        <w:rPr>
          <w:rFonts w:eastAsia="楷体_GB2312"/>
          <w:sz w:val="32"/>
          <w:szCs w:val="32"/>
        </w:rPr>
      </w:pPr>
      <w:r>
        <w:rPr>
          <w:rFonts w:eastAsia="楷体_GB2312"/>
          <w:sz w:val="32"/>
          <w:szCs w:val="32"/>
        </w:rPr>
        <w:t>（一）专业能力测试。</w:t>
      </w:r>
    </w:p>
    <w:p>
      <w:pPr>
        <w:overflowPunct w:val="0"/>
        <w:topLinePunct/>
        <w:spacing w:line="520" w:lineRule="exact"/>
        <w:ind w:firstLine="640" w:firstLineChars="200"/>
        <w:rPr>
          <w:rFonts w:eastAsia="仿宋_GB2312"/>
          <w:sz w:val="32"/>
          <w:szCs w:val="32"/>
        </w:rPr>
      </w:pPr>
      <w:r>
        <w:rPr>
          <w:rFonts w:eastAsia="仿宋_GB2312"/>
          <w:sz w:val="32"/>
          <w:szCs w:val="32"/>
        </w:rPr>
        <w:t>1. 主要测试考生基本素质及专业知识与技能，考核专业素养、工作水平等综合素质能力。满分为100分。</w:t>
      </w:r>
    </w:p>
    <w:p>
      <w:pPr>
        <w:overflowPunct w:val="0"/>
        <w:topLinePunct/>
        <w:spacing w:line="520" w:lineRule="exact"/>
        <w:ind w:firstLine="640" w:firstLineChars="200"/>
        <w:rPr>
          <w:rFonts w:eastAsia="仿宋_GB2312"/>
          <w:sz w:val="32"/>
          <w:szCs w:val="32"/>
        </w:rPr>
      </w:pPr>
      <w:r>
        <w:rPr>
          <w:rFonts w:eastAsia="仿宋_GB2312"/>
          <w:sz w:val="32"/>
          <w:szCs w:val="32"/>
        </w:rPr>
        <w:t>2. 打印准考证。需进行专业能力测试的报考者，凭身份证号、</w:t>
      </w:r>
      <w:r>
        <w:rPr>
          <w:rFonts w:eastAsia="仿宋_GB2312"/>
          <w:sz w:val="32"/>
          <w:szCs w:val="32"/>
          <w:highlight w:val="none"/>
        </w:rPr>
        <w:t>姓名，</w:t>
      </w:r>
      <w:r>
        <w:rPr>
          <w:rFonts w:hint="eastAsia" w:eastAsia="仿宋_GB2312"/>
          <w:sz w:val="32"/>
          <w:szCs w:val="32"/>
          <w:highlight w:val="none"/>
          <w:lang w:eastAsia="zh-CN"/>
        </w:rPr>
        <w:t>在专业能力测试考试前</w:t>
      </w:r>
      <w:r>
        <w:rPr>
          <w:rFonts w:eastAsia="仿宋_GB2312"/>
          <w:sz w:val="32"/>
          <w:szCs w:val="32"/>
          <w:highlight w:val="none"/>
        </w:rPr>
        <w:t>登录四川省人力</w:t>
      </w:r>
      <w:r>
        <w:rPr>
          <w:rFonts w:eastAsia="仿宋_GB2312"/>
          <w:sz w:val="32"/>
          <w:szCs w:val="32"/>
        </w:rPr>
        <w:t>资源和社会保障厅官网“人事人才测评服务”专栏（https://www.jdpta.com）打印本人准考证，在打印准考证前，报考者须在网上签订人事考试诚信承诺书。</w:t>
      </w:r>
    </w:p>
    <w:p>
      <w:pPr>
        <w:overflowPunct w:val="0"/>
        <w:topLinePunct/>
        <w:spacing w:line="520" w:lineRule="exact"/>
        <w:ind w:firstLine="640" w:firstLineChars="200"/>
        <w:rPr>
          <w:rFonts w:eastAsia="仿宋_GB2312"/>
          <w:sz w:val="32"/>
          <w:szCs w:val="32"/>
        </w:rPr>
      </w:pPr>
      <w:r>
        <w:rPr>
          <w:rFonts w:eastAsia="仿宋_GB2312"/>
          <w:sz w:val="32"/>
          <w:szCs w:val="32"/>
        </w:rPr>
        <w:t>3. 专业能力测试具体时间和具体地点详见《准考证》。在专业能力测试当天，报考者须持本人准考证和有效身份证件（包括二代身份证、社会保障卡&lt;含照片&gt;，不含过期身份证、一代身份证、身份证复印件等其他证件、证明）按准考证指定的时间和考场参加专业能力测试。逾期未打印准考证或未按要求签订诚信承诺书，以及相关证件不符合规定要求而影响考试的，责任由报考者自负。缺考或专业能力测试成绩为0分的报考者，视作自动放弃，取消报考资格。</w:t>
      </w:r>
    </w:p>
    <w:p>
      <w:pPr>
        <w:overflowPunct w:val="0"/>
        <w:topLinePunct/>
        <w:spacing w:line="520" w:lineRule="exact"/>
        <w:ind w:firstLine="640" w:firstLineChars="200"/>
        <w:rPr>
          <w:rFonts w:eastAsia="仿宋_GB2312"/>
          <w:sz w:val="32"/>
          <w:szCs w:val="32"/>
        </w:rPr>
      </w:pPr>
      <w:r>
        <w:rPr>
          <w:rFonts w:eastAsia="仿宋_GB2312"/>
          <w:sz w:val="32"/>
          <w:szCs w:val="32"/>
        </w:rPr>
        <w:t>4. 专业能力</w:t>
      </w:r>
      <w:r>
        <w:rPr>
          <w:rFonts w:eastAsia="仿宋_GB2312"/>
          <w:color w:val="auto"/>
          <w:sz w:val="32"/>
          <w:szCs w:val="32"/>
          <w:highlight w:val="none"/>
        </w:rPr>
        <w:t>测试原始成绩于专业能力测试</w:t>
      </w:r>
      <w:r>
        <w:rPr>
          <w:rFonts w:hint="eastAsia" w:eastAsia="仿宋_GB2312"/>
          <w:color w:val="auto"/>
          <w:sz w:val="32"/>
          <w:szCs w:val="32"/>
          <w:highlight w:val="none"/>
        </w:rPr>
        <w:t>结束</w:t>
      </w:r>
      <w:r>
        <w:rPr>
          <w:rFonts w:eastAsia="仿宋_GB2312"/>
          <w:color w:val="auto"/>
          <w:sz w:val="32"/>
          <w:szCs w:val="32"/>
          <w:highlight w:val="none"/>
        </w:rPr>
        <w:t>后</w:t>
      </w:r>
      <w:r>
        <w:rPr>
          <w:rFonts w:hint="eastAsia" w:eastAsia="仿宋_GB2312"/>
          <w:color w:val="auto"/>
          <w:sz w:val="32"/>
          <w:szCs w:val="32"/>
          <w:highlight w:val="none"/>
        </w:rPr>
        <w:t>5个工作日内</w:t>
      </w:r>
      <w:r>
        <w:rPr>
          <w:rFonts w:eastAsia="仿宋_GB2312"/>
          <w:color w:val="auto"/>
          <w:sz w:val="32"/>
          <w:szCs w:val="32"/>
          <w:highlight w:val="none"/>
        </w:rPr>
        <w:t>在四川省人力资源和社会保障厅官网“人事人才测评服务”专栏公布，报考者请自行登录上述网站查询本人专业能力测试成绩。对专业能力测试成绩显示缺考、零分等特殊情况有疑问的报考者，可于</w:t>
      </w:r>
      <w:r>
        <w:rPr>
          <w:rFonts w:hint="eastAsia" w:eastAsia="仿宋_GB2312"/>
          <w:color w:val="auto"/>
          <w:sz w:val="32"/>
          <w:szCs w:val="32"/>
          <w:highlight w:val="none"/>
        </w:rPr>
        <w:t>原始</w:t>
      </w:r>
      <w:r>
        <w:rPr>
          <w:rFonts w:eastAsia="仿宋_GB2312"/>
          <w:color w:val="auto"/>
          <w:sz w:val="32"/>
          <w:szCs w:val="32"/>
          <w:highlight w:val="none"/>
        </w:rPr>
        <w:t>成绩公布后</w:t>
      </w:r>
      <w:r>
        <w:rPr>
          <w:rFonts w:hint="eastAsia" w:eastAsia="仿宋_GB2312"/>
          <w:color w:val="auto"/>
          <w:sz w:val="32"/>
          <w:szCs w:val="32"/>
          <w:highlight w:val="none"/>
        </w:rPr>
        <w:t>3个工作日内</w:t>
      </w:r>
      <w:r>
        <w:rPr>
          <w:rFonts w:eastAsia="仿宋_GB2312"/>
          <w:color w:val="auto"/>
          <w:sz w:val="32"/>
          <w:szCs w:val="32"/>
          <w:highlight w:val="none"/>
        </w:rPr>
        <w:t>登录四川省人力资源和社会保障厅官网“人事人才测评服务”专栏申请核查本人笔试原始成绩，逾期不再受理。报考者的专业能力测试成绩及岗位排名于专业能力测试</w:t>
      </w:r>
      <w:r>
        <w:rPr>
          <w:rFonts w:hint="eastAsia" w:eastAsia="仿宋_GB2312"/>
          <w:color w:val="auto"/>
          <w:sz w:val="32"/>
          <w:szCs w:val="32"/>
          <w:highlight w:val="none"/>
        </w:rPr>
        <w:t>结束</w:t>
      </w:r>
      <w:r>
        <w:rPr>
          <w:rFonts w:eastAsia="仿宋_GB2312"/>
          <w:color w:val="auto"/>
          <w:sz w:val="32"/>
          <w:szCs w:val="32"/>
          <w:highlight w:val="none"/>
        </w:rPr>
        <w:t>后</w:t>
      </w:r>
      <w:r>
        <w:rPr>
          <w:rFonts w:hint="eastAsia" w:eastAsia="仿宋_GB2312"/>
          <w:color w:val="auto"/>
          <w:sz w:val="32"/>
          <w:szCs w:val="32"/>
          <w:highlight w:val="none"/>
        </w:rPr>
        <w:t>10个工作日内</w:t>
      </w:r>
      <w:r>
        <w:rPr>
          <w:rFonts w:eastAsia="仿宋_GB2312"/>
          <w:color w:val="auto"/>
          <w:sz w:val="32"/>
          <w:szCs w:val="32"/>
          <w:highlight w:val="none"/>
        </w:rPr>
        <w:t>在发布本</w:t>
      </w:r>
      <w:r>
        <w:rPr>
          <w:rFonts w:eastAsia="仿宋_GB2312"/>
          <w:sz w:val="32"/>
          <w:szCs w:val="32"/>
        </w:rPr>
        <w:t>公告的网站公布。</w:t>
      </w:r>
    </w:p>
    <w:p>
      <w:pPr>
        <w:overflowPunct w:val="0"/>
        <w:topLinePunct/>
        <w:spacing w:line="520" w:lineRule="exact"/>
        <w:ind w:firstLine="640" w:firstLineChars="200"/>
        <w:rPr>
          <w:rFonts w:eastAsia="楷体_GB2312"/>
          <w:sz w:val="32"/>
          <w:szCs w:val="32"/>
        </w:rPr>
      </w:pPr>
      <w:r>
        <w:rPr>
          <w:rFonts w:eastAsia="楷体_GB2312"/>
          <w:sz w:val="32"/>
          <w:szCs w:val="32"/>
        </w:rPr>
        <w:t>（二）面试</w:t>
      </w:r>
    </w:p>
    <w:p>
      <w:pPr>
        <w:overflowPunct w:val="0"/>
        <w:topLinePunct/>
        <w:spacing w:line="520" w:lineRule="exact"/>
        <w:ind w:firstLine="640" w:firstLineChars="200"/>
        <w:rPr>
          <w:rFonts w:eastAsia="仿宋_GB2312"/>
          <w:sz w:val="32"/>
          <w:szCs w:val="32"/>
        </w:rPr>
      </w:pPr>
      <w:r>
        <w:rPr>
          <w:rFonts w:eastAsia="仿宋_GB2312"/>
          <w:sz w:val="32"/>
          <w:szCs w:val="32"/>
        </w:rPr>
        <w:t>1、面试采取结构化面试方式进行，主要对报考者政治素质、专业知识、遵纪守法、道德品质修养、心理调适能力等方面进行综合考核。面试成绩满分为100分。</w:t>
      </w:r>
    </w:p>
    <w:p>
      <w:pPr>
        <w:overflowPunct w:val="0"/>
        <w:topLinePunct/>
        <w:spacing w:line="520" w:lineRule="exact"/>
        <w:ind w:firstLine="640" w:firstLineChars="200"/>
        <w:rPr>
          <w:rFonts w:eastAsia="仿宋_GB2312"/>
          <w:sz w:val="32"/>
          <w:szCs w:val="32"/>
        </w:rPr>
      </w:pPr>
      <w:r>
        <w:rPr>
          <w:rFonts w:eastAsia="仿宋_GB2312"/>
          <w:sz w:val="32"/>
          <w:szCs w:val="32"/>
        </w:rPr>
        <w:t>2、进行专业能力测试的岗位，根据专业能力测试成绩和招聘名额，从高分到低分按3:1的比例确定面试入围资格审查人员。与最后一名面试入围资格审查人员笔试总成绩相同的人员，一并确定为面试入围资格审查人员。未进行专业能力测试的岗位，则全部纳入面试资格审查范围。</w:t>
      </w:r>
    </w:p>
    <w:p>
      <w:pPr>
        <w:overflowPunct w:val="0"/>
        <w:topLinePunct/>
        <w:spacing w:line="520" w:lineRule="exact"/>
        <w:ind w:firstLine="640" w:firstLineChars="200"/>
        <w:rPr>
          <w:rFonts w:eastAsia="仿宋_GB2312"/>
          <w:sz w:val="32"/>
          <w:szCs w:val="32"/>
        </w:rPr>
      </w:pPr>
      <w:r>
        <w:rPr>
          <w:rFonts w:eastAsia="仿宋_GB2312"/>
          <w:sz w:val="32"/>
          <w:szCs w:val="32"/>
        </w:rPr>
        <w:t>3、面试资格审查手续的办理。面试资格审查由我单位负责进行</w:t>
      </w:r>
      <w:r>
        <w:rPr>
          <w:rFonts w:eastAsia="仿宋_GB2312"/>
          <w:color w:val="auto"/>
          <w:sz w:val="32"/>
          <w:szCs w:val="32"/>
          <w:highlight w:val="none"/>
        </w:rPr>
        <w:t>，具体时间、地点及人员名单随专业能力测试成绩及岗位排名公布</w:t>
      </w:r>
      <w:r>
        <w:rPr>
          <w:rFonts w:hint="eastAsia" w:eastAsia="仿宋_GB2312"/>
          <w:sz w:val="32"/>
          <w:szCs w:val="32"/>
        </w:rPr>
        <w:t>，</w:t>
      </w:r>
      <w:r>
        <w:rPr>
          <w:rFonts w:eastAsia="仿宋_GB2312"/>
          <w:sz w:val="32"/>
          <w:szCs w:val="32"/>
        </w:rPr>
        <w:t>不再另行通知，请报考者注意查阅。</w:t>
      </w:r>
    </w:p>
    <w:p>
      <w:pPr>
        <w:overflowPunct w:val="0"/>
        <w:topLinePunct/>
        <w:spacing w:line="520" w:lineRule="exact"/>
        <w:ind w:firstLine="640" w:firstLineChars="200"/>
        <w:rPr>
          <w:rFonts w:eastAsia="仿宋_GB2312"/>
          <w:sz w:val="32"/>
          <w:szCs w:val="32"/>
        </w:rPr>
      </w:pPr>
      <w:r>
        <w:rPr>
          <w:rFonts w:eastAsia="仿宋_GB2312"/>
          <w:sz w:val="32"/>
          <w:szCs w:val="32"/>
        </w:rPr>
        <w:t>获得面试入围审查资格的人员请按照规定的时间带上以下材料到指定地点办理面试资格审查手续：</w:t>
      </w:r>
    </w:p>
    <w:p>
      <w:pPr>
        <w:overflowPunct w:val="0"/>
        <w:topLinePunct/>
        <w:spacing w:line="520" w:lineRule="exact"/>
        <w:ind w:firstLine="640" w:firstLineChars="200"/>
        <w:rPr>
          <w:rFonts w:eastAsia="仿宋_GB2312"/>
          <w:sz w:val="32"/>
          <w:szCs w:val="32"/>
        </w:rPr>
      </w:pPr>
      <w:r>
        <w:rPr>
          <w:rFonts w:eastAsia="仿宋_GB2312"/>
          <w:sz w:val="32"/>
          <w:szCs w:val="32"/>
        </w:rPr>
        <w:t>①《报考信息表》2份（请在四川省人力资源和社会保障厅官网“人事人才测评服务”专栏自行打印并按要求张贴近期2寸免冠证件照片）；</w:t>
      </w:r>
    </w:p>
    <w:p>
      <w:pPr>
        <w:overflowPunct w:val="0"/>
        <w:topLinePunct/>
        <w:spacing w:line="520" w:lineRule="exact"/>
        <w:ind w:firstLine="640" w:firstLineChars="200"/>
        <w:rPr>
          <w:rFonts w:eastAsia="仿宋_GB2312"/>
          <w:sz w:val="32"/>
          <w:szCs w:val="32"/>
        </w:rPr>
      </w:pPr>
      <w:r>
        <w:rPr>
          <w:rFonts w:eastAsia="仿宋_GB2312"/>
          <w:sz w:val="32"/>
          <w:szCs w:val="32"/>
        </w:rPr>
        <w:t>②身份证原件和复印件1份；</w:t>
      </w:r>
    </w:p>
    <w:p>
      <w:pPr>
        <w:overflowPunct w:val="0"/>
        <w:topLinePunct/>
        <w:spacing w:line="520" w:lineRule="exact"/>
        <w:ind w:firstLine="640" w:firstLineChars="200"/>
        <w:rPr>
          <w:rFonts w:eastAsia="仿宋_GB2312"/>
          <w:sz w:val="32"/>
          <w:szCs w:val="32"/>
        </w:rPr>
      </w:pPr>
      <w:r>
        <w:rPr>
          <w:rFonts w:eastAsia="仿宋_GB2312"/>
          <w:sz w:val="32"/>
          <w:szCs w:val="32"/>
        </w:rPr>
        <w:t>③有效的学位证（有学位要求的，下同）、毕业证原件和复印件1份。</w:t>
      </w:r>
    </w:p>
    <w:p>
      <w:pPr>
        <w:overflowPunct w:val="0"/>
        <w:topLinePunct/>
        <w:spacing w:line="520" w:lineRule="exact"/>
        <w:ind w:firstLine="640" w:firstLineChars="200"/>
        <w:rPr>
          <w:rFonts w:eastAsia="仿宋_GB2312"/>
          <w:sz w:val="32"/>
          <w:szCs w:val="32"/>
        </w:rPr>
      </w:pPr>
      <w:r>
        <w:rPr>
          <w:rFonts w:eastAsia="仿宋_GB2312"/>
          <w:sz w:val="32"/>
          <w:szCs w:val="32"/>
        </w:rPr>
        <w:t>④专业技术职务任职资格文件或《评审表》（首页至尾页需完整提供）复印件（二选一）、职称证书原件及复印件各1份。</w:t>
      </w:r>
    </w:p>
    <w:p>
      <w:pPr>
        <w:overflowPunct w:val="0"/>
        <w:topLinePunct/>
        <w:spacing w:line="520" w:lineRule="exact"/>
        <w:ind w:firstLine="640" w:firstLineChars="200"/>
        <w:rPr>
          <w:rFonts w:eastAsia="仿宋_GB2312"/>
          <w:sz w:val="32"/>
          <w:szCs w:val="32"/>
        </w:rPr>
      </w:pPr>
      <w:r>
        <w:rPr>
          <w:rFonts w:eastAsia="仿宋_GB2312"/>
          <w:sz w:val="32"/>
          <w:szCs w:val="32"/>
        </w:rPr>
        <w:t>⑤岗位如有工作经历要求的，须提供工作单位证明、劳动合同、社保缴纳存单等相关经历证明材料原件和复印件1份。</w:t>
      </w:r>
    </w:p>
    <w:p>
      <w:pPr>
        <w:overflowPunct w:val="0"/>
        <w:topLinePunct/>
        <w:spacing w:line="520" w:lineRule="exact"/>
        <w:ind w:firstLine="640" w:firstLineChars="200"/>
        <w:rPr>
          <w:rFonts w:eastAsia="仿宋_GB2312"/>
          <w:sz w:val="32"/>
          <w:szCs w:val="32"/>
        </w:rPr>
      </w:pPr>
      <w:r>
        <w:rPr>
          <w:rFonts w:eastAsia="仿宋_GB2312"/>
          <w:sz w:val="32"/>
          <w:szCs w:val="32"/>
        </w:rPr>
        <w:t>⑥其他与报考资格相关的材料。</w:t>
      </w:r>
    </w:p>
    <w:p>
      <w:pPr>
        <w:overflowPunct w:val="0"/>
        <w:topLinePunct/>
        <w:spacing w:line="520" w:lineRule="exact"/>
        <w:ind w:firstLine="640" w:firstLineChars="200"/>
        <w:rPr>
          <w:rFonts w:eastAsia="仿宋_GB2312"/>
          <w:sz w:val="32"/>
          <w:szCs w:val="32"/>
        </w:rPr>
      </w:pPr>
      <w:r>
        <w:rPr>
          <w:rFonts w:eastAsia="仿宋_GB2312"/>
          <w:sz w:val="32"/>
          <w:szCs w:val="32"/>
        </w:rPr>
        <w:t>几种特殊报考对象，还须具备以下手续：</w:t>
      </w:r>
    </w:p>
    <w:p>
      <w:pPr>
        <w:overflowPunct w:val="0"/>
        <w:topLinePunct/>
        <w:spacing w:line="520" w:lineRule="exact"/>
        <w:ind w:firstLine="640" w:firstLineChars="200"/>
        <w:rPr>
          <w:rFonts w:eastAsia="仿宋_GB2312"/>
          <w:sz w:val="32"/>
          <w:szCs w:val="32"/>
        </w:rPr>
      </w:pPr>
      <w:r>
        <w:rPr>
          <w:rFonts w:eastAsia="仿宋_GB2312"/>
          <w:sz w:val="32"/>
          <w:szCs w:val="32"/>
        </w:rPr>
        <w:t>①机关事业单位在编人员须按照干部管理权限经所在单位或主管部门同意，并提供同意报考证明。</w:t>
      </w:r>
    </w:p>
    <w:p>
      <w:pPr>
        <w:overflowPunct w:val="0"/>
        <w:topLinePunct/>
        <w:spacing w:line="520" w:lineRule="exact"/>
        <w:ind w:firstLine="640" w:firstLineChars="200"/>
        <w:rPr>
          <w:rFonts w:eastAsia="仿宋_GB2312"/>
          <w:sz w:val="32"/>
          <w:szCs w:val="32"/>
        </w:rPr>
      </w:pPr>
      <w:r>
        <w:rPr>
          <w:rFonts w:eastAsia="仿宋_GB2312"/>
          <w:sz w:val="32"/>
          <w:szCs w:val="32"/>
        </w:rPr>
        <w:t>②委培生、定向生，须提供由原委培、定向单位同意报考证明。</w:t>
      </w:r>
    </w:p>
    <w:p>
      <w:pPr>
        <w:overflowPunct w:val="0"/>
        <w:topLinePunct/>
        <w:spacing w:line="520" w:lineRule="exact"/>
        <w:ind w:firstLine="640" w:firstLineChars="200"/>
        <w:rPr>
          <w:rFonts w:eastAsia="仿宋_GB2312"/>
          <w:sz w:val="32"/>
          <w:szCs w:val="32"/>
        </w:rPr>
      </w:pPr>
      <w:r>
        <w:rPr>
          <w:rFonts w:eastAsia="仿宋_GB2312"/>
          <w:sz w:val="32"/>
          <w:szCs w:val="32"/>
        </w:rPr>
        <w:t>③国家有其他特殊规定的，从其规定。</w:t>
      </w:r>
    </w:p>
    <w:p>
      <w:pPr>
        <w:overflowPunct w:val="0"/>
        <w:topLinePunct/>
        <w:spacing w:line="520" w:lineRule="exact"/>
        <w:ind w:firstLine="640" w:firstLineChars="200"/>
        <w:rPr>
          <w:rFonts w:eastAsia="仿宋_GB2312"/>
          <w:sz w:val="32"/>
          <w:szCs w:val="32"/>
        </w:rPr>
      </w:pPr>
      <w:r>
        <w:rPr>
          <w:rFonts w:eastAsia="仿宋_GB2312"/>
          <w:sz w:val="32"/>
          <w:szCs w:val="32"/>
        </w:rPr>
        <w:t>不能按要求提供上述材料以及未在规定时间到指定地点参加资格复审的，视为自动放弃面试资格。</w:t>
      </w:r>
    </w:p>
    <w:p>
      <w:pPr>
        <w:overflowPunct w:val="0"/>
        <w:topLinePunct/>
        <w:spacing w:line="520" w:lineRule="exact"/>
        <w:ind w:firstLine="640" w:firstLineChars="200"/>
        <w:rPr>
          <w:rFonts w:eastAsia="仿宋_GB2312"/>
          <w:sz w:val="32"/>
          <w:szCs w:val="32"/>
        </w:rPr>
      </w:pPr>
      <w:r>
        <w:rPr>
          <w:rFonts w:eastAsia="仿宋_GB2312"/>
          <w:sz w:val="32"/>
          <w:szCs w:val="32"/>
        </w:rPr>
        <w:t>报考者的学历、学位以其本人毕业证书、学位证书作为判断依据，专业名称以其毕业证书载明的专业名称为准。</w:t>
      </w:r>
    </w:p>
    <w:p>
      <w:pPr>
        <w:overflowPunct w:val="0"/>
        <w:topLinePunct/>
        <w:spacing w:line="520" w:lineRule="exact"/>
        <w:ind w:firstLine="640" w:firstLineChars="200"/>
        <w:rPr>
          <w:rFonts w:eastAsia="仿宋_GB2312"/>
          <w:sz w:val="32"/>
          <w:szCs w:val="32"/>
        </w:rPr>
      </w:pPr>
      <w:r>
        <w:rPr>
          <w:rFonts w:eastAsia="仿宋_GB2312"/>
          <w:sz w:val="32"/>
          <w:szCs w:val="32"/>
        </w:rPr>
        <w:t>留学人员应持国家教育部留学服务中心认证学历、学位参加资格审查。留学期间所学专业未列入国家教育行政部门颁布的学科专业目录的，可按《关于进一步规范省属事业单位公开招聘工作人员工作的通知》（川人办发〔2009〕457号）规定进行第三方专业认定，认定与招聘专业为相似专业的视为专业条件合格。</w:t>
      </w:r>
    </w:p>
    <w:p>
      <w:pPr>
        <w:overflowPunct w:val="0"/>
        <w:topLinePunct/>
        <w:spacing w:line="520" w:lineRule="exact"/>
        <w:ind w:firstLine="640" w:firstLineChars="200"/>
        <w:rPr>
          <w:rFonts w:eastAsia="仿宋_GB2312"/>
          <w:sz w:val="32"/>
          <w:szCs w:val="32"/>
        </w:rPr>
      </w:pPr>
      <w:r>
        <w:rPr>
          <w:rFonts w:eastAsia="仿宋_GB2312"/>
          <w:sz w:val="32"/>
          <w:szCs w:val="32"/>
        </w:rPr>
        <w:t>凡不符合报考资格条件的，资格审查不予通过，责任由报考者自负。招聘岗位专业条件涉及专业方向或专业认定有异议的，由我单位负责审查认定。</w:t>
      </w:r>
    </w:p>
    <w:p>
      <w:pPr>
        <w:overflowPunct w:val="0"/>
        <w:topLinePunct/>
        <w:spacing w:line="520" w:lineRule="exact"/>
        <w:ind w:firstLine="640" w:firstLineChars="200"/>
        <w:rPr>
          <w:rFonts w:eastAsia="仿宋_GB2312"/>
          <w:sz w:val="32"/>
          <w:szCs w:val="32"/>
        </w:rPr>
      </w:pPr>
      <w:r>
        <w:rPr>
          <w:rFonts w:eastAsia="仿宋_GB2312"/>
          <w:sz w:val="32"/>
          <w:szCs w:val="32"/>
        </w:rPr>
        <w:t>不能按要求提供上述证件和证明以及未按时参加资格审查的，视为自动放弃其面试资格。</w:t>
      </w:r>
    </w:p>
    <w:p>
      <w:pPr>
        <w:overflowPunct w:val="0"/>
        <w:topLinePunct/>
        <w:spacing w:line="520" w:lineRule="exact"/>
        <w:ind w:firstLine="640" w:firstLineChars="200"/>
        <w:rPr>
          <w:rFonts w:eastAsia="仿宋_GB2312"/>
          <w:sz w:val="32"/>
          <w:szCs w:val="32"/>
        </w:rPr>
      </w:pPr>
      <w:r>
        <w:rPr>
          <w:rFonts w:eastAsia="仿宋_GB2312"/>
          <w:sz w:val="32"/>
          <w:szCs w:val="32"/>
        </w:rPr>
        <w:t>进行专业能力测试的岗位，面试资格审查中产生的空额，按专业能力测试成绩从高到低依次等额递补。递补人员，由我单位根据报考者在《报考信息表》上所留联系电话直接通知其在规定的时间、地点进行资格审查。</w:t>
      </w:r>
    </w:p>
    <w:p>
      <w:pPr>
        <w:overflowPunct w:val="0"/>
        <w:topLinePunct/>
        <w:spacing w:line="520" w:lineRule="exact"/>
        <w:ind w:firstLine="640" w:firstLineChars="200"/>
        <w:rPr>
          <w:rFonts w:eastAsia="仿宋_GB2312"/>
          <w:sz w:val="32"/>
          <w:szCs w:val="32"/>
        </w:rPr>
      </w:pPr>
      <w:r>
        <w:rPr>
          <w:rFonts w:eastAsia="仿宋_GB2312"/>
          <w:sz w:val="32"/>
          <w:szCs w:val="32"/>
        </w:rPr>
        <w:t>通过面试资格审查的人员，由我单位发给面试通知书。</w:t>
      </w:r>
    </w:p>
    <w:p>
      <w:pPr>
        <w:overflowPunct w:val="0"/>
        <w:topLinePunct/>
        <w:spacing w:line="520" w:lineRule="exact"/>
        <w:ind w:firstLine="640" w:firstLineChars="200"/>
        <w:rPr>
          <w:rFonts w:eastAsia="仿宋_GB2312"/>
          <w:sz w:val="32"/>
          <w:szCs w:val="32"/>
        </w:rPr>
      </w:pPr>
      <w:r>
        <w:rPr>
          <w:rFonts w:eastAsia="仿宋_GB2312"/>
          <w:sz w:val="32"/>
          <w:szCs w:val="32"/>
        </w:rPr>
        <w:t>4、面试时间及地点。面试的时间及地点详见面试通知书。</w:t>
      </w:r>
    </w:p>
    <w:p>
      <w:pPr>
        <w:overflowPunct w:val="0"/>
        <w:topLinePunct/>
        <w:spacing w:line="520" w:lineRule="exact"/>
        <w:ind w:firstLine="640" w:firstLineChars="200"/>
        <w:rPr>
          <w:rFonts w:eastAsia="仿宋_GB2312"/>
          <w:sz w:val="32"/>
          <w:szCs w:val="32"/>
        </w:rPr>
      </w:pPr>
      <w:r>
        <w:rPr>
          <w:rFonts w:eastAsia="仿宋_GB2312"/>
          <w:sz w:val="32"/>
          <w:szCs w:val="32"/>
        </w:rPr>
        <w:t>面试当日，面试人员凭面试通知书、本人有效身份证件（包括二代身份证、社会保障卡&lt;含照片&gt;，不含过期身份证、一代身份证、身份证复印件等其他证件、证明）按面试通知书规定的时间、指定的地点准时到面试考场候考。未按规定的时间和要求到考场候考的视为自动放弃面试资格。由此出现的面试名额空缺不再递补面试人选。</w:t>
      </w:r>
    </w:p>
    <w:p>
      <w:pPr>
        <w:overflowPunct w:val="0"/>
        <w:topLinePunct/>
        <w:spacing w:line="520" w:lineRule="exact"/>
        <w:ind w:firstLine="640" w:firstLineChars="200"/>
        <w:rPr>
          <w:rFonts w:eastAsia="仿宋_GB2312"/>
          <w:sz w:val="32"/>
          <w:szCs w:val="32"/>
        </w:rPr>
      </w:pPr>
      <w:r>
        <w:rPr>
          <w:rFonts w:eastAsia="仿宋_GB2312"/>
          <w:sz w:val="32"/>
          <w:szCs w:val="32"/>
        </w:rPr>
        <w:t>如因面试入围资格审查或缺考出现空缺而造成实际参加面试人数与招聘人数之比低于规定的面试入围比例时，面试正常进行。如招聘岗位实际面试人员低于2:1或未形成竞争（即参加面试人数少于或等于该岗位拟招聘人数），该岗位面试人员面试成绩低于75分的，取消应聘资格。报考者面试缺考或放弃面试的视为自动放弃应聘资格。</w:t>
      </w:r>
    </w:p>
    <w:p>
      <w:pPr>
        <w:overflowPunct w:val="0"/>
        <w:topLinePunct/>
        <w:spacing w:line="520" w:lineRule="exact"/>
        <w:ind w:firstLine="640" w:firstLineChars="200"/>
        <w:rPr>
          <w:rFonts w:eastAsia="仿宋_GB2312"/>
          <w:sz w:val="32"/>
          <w:szCs w:val="32"/>
        </w:rPr>
      </w:pPr>
      <w:r>
        <w:rPr>
          <w:rFonts w:eastAsia="仿宋_GB2312"/>
          <w:sz w:val="32"/>
          <w:szCs w:val="32"/>
        </w:rPr>
        <w:t>5、面试成绩公布。报考者的面试成绩当场公布并由报考者本人签字确认。</w:t>
      </w:r>
    </w:p>
    <w:p>
      <w:pPr>
        <w:overflowPunct w:val="0"/>
        <w:topLinePunct/>
        <w:spacing w:line="520" w:lineRule="exact"/>
        <w:ind w:firstLine="640" w:firstLineChars="200"/>
        <w:rPr>
          <w:rFonts w:eastAsia="楷体_GB2312"/>
          <w:color w:val="auto"/>
          <w:sz w:val="32"/>
          <w:szCs w:val="32"/>
        </w:rPr>
      </w:pPr>
      <w:r>
        <w:rPr>
          <w:rFonts w:eastAsia="楷体_GB2312"/>
          <w:sz w:val="32"/>
          <w:szCs w:val="32"/>
        </w:rPr>
        <w:t>（三）考试成绩公布</w:t>
      </w:r>
      <w:bookmarkStart w:id="0" w:name="_GoBack"/>
    </w:p>
    <w:p>
      <w:pPr>
        <w:overflowPunct w:val="0"/>
        <w:topLinePunct/>
        <w:spacing w:line="520" w:lineRule="exact"/>
        <w:ind w:firstLine="640" w:firstLineChars="200"/>
        <w:rPr>
          <w:rFonts w:eastAsia="仿宋_GB2312"/>
          <w:sz w:val="32"/>
          <w:szCs w:val="32"/>
        </w:rPr>
      </w:pPr>
      <w:r>
        <w:rPr>
          <w:rFonts w:eastAsia="仿宋_GB2312"/>
          <w:color w:val="auto"/>
          <w:sz w:val="32"/>
          <w:szCs w:val="32"/>
        </w:rPr>
        <w:t>面试工作结束后，由我单位于面试后</w:t>
      </w:r>
      <w:r>
        <w:rPr>
          <w:rFonts w:hint="eastAsia" w:eastAsia="仿宋_GB2312"/>
          <w:color w:val="auto"/>
          <w:sz w:val="32"/>
          <w:szCs w:val="32"/>
        </w:rPr>
        <w:t>5</w:t>
      </w:r>
      <w:r>
        <w:rPr>
          <w:rFonts w:eastAsia="仿宋_GB2312"/>
          <w:color w:val="auto"/>
          <w:sz w:val="32"/>
          <w:szCs w:val="32"/>
        </w:rPr>
        <w:t>个工作日内在发布本公告的网站公布面试人员的考试总成绩（含专业能力测试成绩</w:t>
      </w:r>
      <w:bookmarkEnd w:id="0"/>
      <w:r>
        <w:rPr>
          <w:rFonts w:eastAsia="仿宋_GB2312"/>
          <w:sz w:val="32"/>
          <w:szCs w:val="32"/>
        </w:rPr>
        <w:t>、面试成绩、总成绩及排名）。</w:t>
      </w:r>
    </w:p>
    <w:p>
      <w:pPr>
        <w:overflowPunct w:val="0"/>
        <w:topLinePunct/>
        <w:spacing w:line="520" w:lineRule="exact"/>
        <w:ind w:firstLine="640" w:firstLineChars="200"/>
        <w:rPr>
          <w:rFonts w:eastAsia="黑体"/>
          <w:sz w:val="32"/>
          <w:szCs w:val="32"/>
        </w:rPr>
      </w:pPr>
      <w:r>
        <w:rPr>
          <w:rFonts w:eastAsia="黑体"/>
          <w:sz w:val="32"/>
          <w:szCs w:val="32"/>
        </w:rPr>
        <w:t>六、体检和考察</w:t>
      </w:r>
    </w:p>
    <w:p>
      <w:pPr>
        <w:overflowPunct w:val="0"/>
        <w:topLinePunct/>
        <w:spacing w:line="520" w:lineRule="exact"/>
        <w:ind w:firstLine="640" w:firstLineChars="200"/>
        <w:rPr>
          <w:rFonts w:eastAsia="仿宋_GB2312"/>
          <w:sz w:val="32"/>
          <w:szCs w:val="32"/>
        </w:rPr>
      </w:pPr>
      <w:r>
        <w:rPr>
          <w:rFonts w:eastAsia="楷体_GB2312"/>
          <w:sz w:val="32"/>
          <w:szCs w:val="32"/>
        </w:rPr>
        <w:t>（一）体检。</w:t>
      </w:r>
      <w:r>
        <w:rPr>
          <w:rFonts w:eastAsia="仿宋_GB2312"/>
          <w:sz w:val="32"/>
          <w:szCs w:val="32"/>
        </w:rPr>
        <w:t>根据岗位招聘名额和报考者的考试总成绩，由我单位从高分到低分依次等额确定体检对象。如考试总成绩相同，报考者依次按学历、职称层次、面试成绩、专业能力测试成绩从高到低确定体检人员。</w:t>
      </w:r>
    </w:p>
    <w:p>
      <w:pPr>
        <w:overflowPunct w:val="0"/>
        <w:topLinePunct/>
        <w:spacing w:line="520" w:lineRule="exact"/>
        <w:ind w:firstLine="636"/>
        <w:rPr>
          <w:rFonts w:eastAsia="仿宋_GB2312"/>
          <w:sz w:val="32"/>
          <w:szCs w:val="32"/>
        </w:rPr>
      </w:pPr>
      <w:r>
        <w:rPr>
          <w:rFonts w:eastAsia="仿宋_GB2312"/>
          <w:sz w:val="32"/>
          <w:szCs w:val="32"/>
        </w:rPr>
        <w:t>体检由我单位组织在指定的二级甲等及以上综合性医院进行，体检费用自理。体检项目和标准参照修订后的《公务员录用体检通用标准（试行）》和《公务员录用体检操作手册（试行）》执行。体检时间、地点及人员名单随面试人员面试成绩公布。未按规定时间到指定地点参加体检，以及未在规定的期限内完成规定项目体检的考生，视为自动弃权。</w:t>
      </w:r>
    </w:p>
    <w:p>
      <w:pPr>
        <w:overflowPunct w:val="0"/>
        <w:topLinePunct/>
        <w:spacing w:line="520" w:lineRule="exact"/>
        <w:ind w:firstLine="636"/>
        <w:rPr>
          <w:rFonts w:eastAsia="仿宋_GB2312"/>
          <w:sz w:val="32"/>
          <w:szCs w:val="32"/>
        </w:rPr>
      </w:pPr>
      <w:r>
        <w:rPr>
          <w:rFonts w:eastAsia="仿宋_GB2312"/>
          <w:sz w:val="32"/>
          <w:szCs w:val="32"/>
        </w:rPr>
        <w:t>初次体检不合格的，本人可在接到体检结果通知三日内申请复检一次。复检由我单位指定到除原体检医院以外的二级甲等及以上综合性医院进行。申请复检人员的体检结果以复检结果为准。</w:t>
      </w:r>
    </w:p>
    <w:p>
      <w:pPr>
        <w:overflowPunct w:val="0"/>
        <w:topLinePunct/>
        <w:spacing w:line="520" w:lineRule="exact"/>
        <w:ind w:firstLine="636"/>
        <w:rPr>
          <w:rFonts w:eastAsia="仿宋_GB2312"/>
          <w:sz w:val="32"/>
          <w:szCs w:val="32"/>
        </w:rPr>
      </w:pPr>
      <w:r>
        <w:rPr>
          <w:rFonts w:eastAsia="仿宋_GB2312"/>
          <w:sz w:val="32"/>
          <w:szCs w:val="32"/>
        </w:rPr>
        <w:t>因体检人员自动弃权或体检不合格而出现的空额，按照参加面试报考者的考试成绩，从高分到低分依次等额递补体检人员。如该岗位所有参加面试的人员体检均不合格或无人可递补，不再递补。</w:t>
      </w:r>
    </w:p>
    <w:p>
      <w:pPr>
        <w:overflowPunct w:val="0"/>
        <w:topLinePunct/>
        <w:spacing w:line="520" w:lineRule="exact"/>
        <w:ind w:firstLine="636"/>
        <w:rPr>
          <w:rFonts w:eastAsia="仿宋_GB2312"/>
          <w:sz w:val="32"/>
          <w:szCs w:val="32"/>
        </w:rPr>
      </w:pPr>
      <w:r>
        <w:rPr>
          <w:rFonts w:eastAsia="楷体_GB2312"/>
          <w:sz w:val="32"/>
          <w:szCs w:val="32"/>
        </w:rPr>
        <w:t>（二）考察。</w:t>
      </w:r>
      <w:r>
        <w:rPr>
          <w:rFonts w:eastAsia="仿宋_GB2312"/>
          <w:sz w:val="32"/>
          <w:szCs w:val="32"/>
        </w:rPr>
        <w:t>对体检合格人员的思想政治素质、遵纪守法情况、道德品质修养、心理调适能力等方面进行综合考察，并对其与报考相关的人事档案等材料的真实有效性和报考资格进行核实确认。对考察中取消报考资格以及通过考察的报考者在公示前自动放弃出现的空额，按照体检人员的确定规则依次等额递补，如该岗位所有参加面试的人员综合考察均不合格或无人可递补，不再递补。</w:t>
      </w:r>
    </w:p>
    <w:p>
      <w:pPr>
        <w:overflowPunct w:val="0"/>
        <w:topLinePunct/>
        <w:spacing w:line="520" w:lineRule="exact"/>
        <w:ind w:firstLine="640" w:firstLineChars="200"/>
        <w:rPr>
          <w:rFonts w:eastAsia="黑体"/>
          <w:sz w:val="32"/>
          <w:szCs w:val="32"/>
        </w:rPr>
      </w:pPr>
      <w:r>
        <w:rPr>
          <w:rFonts w:eastAsia="黑体"/>
          <w:sz w:val="32"/>
          <w:szCs w:val="32"/>
        </w:rPr>
        <w:t>七、公示</w:t>
      </w:r>
    </w:p>
    <w:p>
      <w:pPr>
        <w:overflowPunct w:val="0"/>
        <w:topLinePunct/>
        <w:spacing w:line="600" w:lineRule="exact"/>
        <w:ind w:firstLine="640" w:firstLineChars="200"/>
        <w:rPr>
          <w:rFonts w:eastAsia="仿宋_GB2312"/>
          <w:sz w:val="32"/>
          <w:szCs w:val="32"/>
        </w:rPr>
      </w:pPr>
      <w:r>
        <w:rPr>
          <w:rFonts w:eastAsia="仿宋_GB2312"/>
          <w:sz w:val="32"/>
          <w:szCs w:val="32"/>
        </w:rPr>
        <w:t>对考察合格的拟聘人员，在四川省人力资源和社会保障厅、四川省生态环境厅网站公示7个工作日。公示内容包括拟报送四川省生态环境厅审核确认人员的姓名、年龄、毕业院校、专业、学历学位、职称、考试总成绩、排名以及该岗位招聘条件等，并公布监督举报电话接受社会监督和举报。举报者应以真实姓名实事求是地反映问题，并提供必要的调查线索。凡以匿名或其他方式反映的问题不予受理。</w:t>
      </w:r>
    </w:p>
    <w:p>
      <w:pPr>
        <w:overflowPunct w:val="0"/>
        <w:topLinePunct/>
        <w:spacing w:line="600" w:lineRule="exact"/>
        <w:ind w:firstLine="636"/>
        <w:rPr>
          <w:rFonts w:eastAsia="仿宋_GB2312"/>
          <w:sz w:val="32"/>
          <w:szCs w:val="32"/>
        </w:rPr>
      </w:pPr>
      <w:r>
        <w:rPr>
          <w:rFonts w:eastAsia="仿宋_GB2312"/>
          <w:sz w:val="32"/>
          <w:szCs w:val="32"/>
        </w:rPr>
        <w:t>对公示期间反映有严重问题并查有实据、不符合报考条件的，取消被公示人拟聘资格。对反映有严重问题，但一时难以查实或难以否定的，可先报送四川省生态环境厅进行审核确认，但一经核实不符合报考条件的，取消其拟聘用或聘用人员资格。</w:t>
      </w:r>
    </w:p>
    <w:p>
      <w:pPr>
        <w:overflowPunct w:val="0"/>
        <w:topLinePunct/>
        <w:spacing w:line="600" w:lineRule="exact"/>
        <w:ind w:firstLine="636"/>
        <w:rPr>
          <w:rFonts w:eastAsia="仿宋_GB2312"/>
          <w:sz w:val="32"/>
          <w:szCs w:val="32"/>
        </w:rPr>
      </w:pPr>
      <w:r>
        <w:rPr>
          <w:rFonts w:eastAsia="仿宋_GB2312"/>
          <w:sz w:val="32"/>
          <w:szCs w:val="32"/>
        </w:rPr>
        <w:t>公示期间因被公示人弃权或因其被举报查实取消拟聘资格后出现的空额，不再递补。公示后因拟确认人员弃权等原因出现的招聘名额空额，不再递补。</w:t>
      </w:r>
    </w:p>
    <w:p>
      <w:pPr>
        <w:overflowPunct w:val="0"/>
        <w:topLinePunct/>
        <w:spacing w:line="600" w:lineRule="exact"/>
        <w:ind w:firstLine="640" w:firstLineChars="200"/>
        <w:rPr>
          <w:rFonts w:eastAsia="黑体"/>
          <w:sz w:val="32"/>
          <w:szCs w:val="32"/>
        </w:rPr>
      </w:pPr>
      <w:r>
        <w:rPr>
          <w:rFonts w:eastAsia="黑体"/>
          <w:sz w:val="32"/>
          <w:szCs w:val="32"/>
        </w:rPr>
        <w:t>八、审核确认和办理聘用手续</w:t>
      </w:r>
    </w:p>
    <w:p>
      <w:pPr>
        <w:overflowPunct w:val="0"/>
        <w:topLinePunct/>
        <w:spacing w:line="600" w:lineRule="exact"/>
        <w:ind w:firstLine="640" w:firstLineChars="200"/>
        <w:rPr>
          <w:rFonts w:eastAsia="仿宋_GB2312"/>
          <w:sz w:val="32"/>
          <w:szCs w:val="32"/>
        </w:rPr>
      </w:pPr>
      <w:r>
        <w:rPr>
          <w:rFonts w:eastAsia="仿宋_GB2312"/>
          <w:sz w:val="32"/>
          <w:szCs w:val="32"/>
        </w:rPr>
        <w:t>经公示无异议人员，由我单位通知报考者报送相关材料，并对报考者所提供材料的真实性进行初审后，将拟聘用人员的相关材料报四川省生态环境厅审核确认。通过四川省生态环境厅审核确认的人员，取得聘用人员资格，按照有关规定签订事业单位人事聘用合同，实行事业单位聘用制管理。逾期不能按要求提供相关材料的以及通过四川省生态环境厅审核确认后，未按时报到的，视为自动放弃，取消其聘用资格。</w:t>
      </w:r>
    </w:p>
    <w:p>
      <w:pPr>
        <w:overflowPunct w:val="0"/>
        <w:topLinePunct/>
        <w:spacing w:line="600" w:lineRule="exact"/>
        <w:ind w:firstLine="640" w:firstLineChars="200"/>
        <w:rPr>
          <w:rFonts w:eastAsia="仿宋_GB2312"/>
          <w:sz w:val="32"/>
          <w:szCs w:val="32"/>
        </w:rPr>
      </w:pPr>
      <w:r>
        <w:rPr>
          <w:rFonts w:eastAsia="仿宋_GB2312"/>
          <w:sz w:val="32"/>
          <w:szCs w:val="32"/>
        </w:rPr>
        <w:t>公开考核招聘的人员从本人与我单位签订《四川省事业单位聘用合同书》生效之日起，在我单位工作满五年及以上方可按有关规定流（调）动到其他单位。</w:t>
      </w:r>
    </w:p>
    <w:p>
      <w:pPr>
        <w:overflowPunct w:val="0"/>
        <w:topLinePunct/>
        <w:spacing w:line="600" w:lineRule="exact"/>
        <w:ind w:firstLine="640" w:firstLineChars="200"/>
        <w:rPr>
          <w:rFonts w:eastAsia="黑体"/>
          <w:sz w:val="32"/>
          <w:szCs w:val="32"/>
        </w:rPr>
      </w:pPr>
      <w:r>
        <w:rPr>
          <w:rFonts w:eastAsia="黑体"/>
          <w:sz w:val="32"/>
          <w:szCs w:val="32"/>
        </w:rPr>
        <w:t>九、纪律与监督</w:t>
      </w:r>
    </w:p>
    <w:p>
      <w:pPr>
        <w:overflowPunct w:val="0"/>
        <w:topLinePunct/>
        <w:spacing w:line="600" w:lineRule="exact"/>
        <w:ind w:firstLine="640" w:firstLineChars="200"/>
        <w:rPr>
          <w:rFonts w:eastAsia="仿宋_GB2312"/>
          <w:sz w:val="32"/>
          <w:szCs w:val="32"/>
        </w:rPr>
      </w:pPr>
      <w:r>
        <w:rPr>
          <w:rFonts w:eastAsia="仿宋_GB2312"/>
          <w:sz w:val="32"/>
          <w:szCs w:val="32"/>
        </w:rPr>
        <w:t>在公开考核招聘中，应确保信息、过程、结果公开，接受社会及有关部门的监督。对违反规定、弄虚作假聘用的人员一经查实，取消其聘用资格，并对相关人员按照有关规定进行严肃处理。</w:t>
      </w:r>
    </w:p>
    <w:p>
      <w:pPr>
        <w:overflowPunct w:val="0"/>
        <w:topLinePunct/>
        <w:spacing w:line="600" w:lineRule="exact"/>
        <w:ind w:firstLine="640" w:firstLineChars="200"/>
        <w:rPr>
          <w:rFonts w:eastAsia="黑体"/>
          <w:sz w:val="32"/>
          <w:szCs w:val="32"/>
        </w:rPr>
      </w:pPr>
      <w:r>
        <w:rPr>
          <w:rFonts w:eastAsia="黑体"/>
          <w:sz w:val="32"/>
          <w:szCs w:val="32"/>
        </w:rPr>
        <w:t>十、特别提示</w:t>
      </w:r>
    </w:p>
    <w:p>
      <w:pPr>
        <w:overflowPunct w:val="0"/>
        <w:topLinePunct/>
        <w:spacing w:line="600" w:lineRule="exact"/>
        <w:ind w:firstLine="640" w:firstLineChars="200"/>
        <w:rPr>
          <w:rFonts w:eastAsia="仿宋_GB2312"/>
          <w:sz w:val="32"/>
          <w:szCs w:val="32"/>
        </w:rPr>
      </w:pPr>
      <w:r>
        <w:rPr>
          <w:rFonts w:eastAsia="仿宋_GB2312"/>
          <w:sz w:val="32"/>
          <w:szCs w:val="32"/>
        </w:rPr>
        <w:t>1、招聘过程中如有调整、补充等事项，由我单位在发布公告的网站公告。因报考者不主动、不按要求登录相关网站查阅相关信息，导致本人未能按要求参加专业化能力测试、面试、体检、考察、递补、聘用的，责任由报考者自负。</w:t>
      </w:r>
    </w:p>
    <w:p>
      <w:pPr>
        <w:overflowPunct w:val="0"/>
        <w:topLinePunct/>
        <w:spacing w:line="600" w:lineRule="exact"/>
        <w:ind w:firstLine="640" w:firstLineChars="200"/>
        <w:rPr>
          <w:rFonts w:eastAsia="仿宋_GB2312"/>
          <w:sz w:val="32"/>
          <w:szCs w:val="32"/>
        </w:rPr>
      </w:pPr>
      <w:r>
        <w:rPr>
          <w:rFonts w:eastAsia="仿宋_GB2312"/>
          <w:sz w:val="32"/>
          <w:szCs w:val="32"/>
        </w:rPr>
        <w:t>2、请报考者确保联系方式正确、畅通。否则因无法与报考者取得联系所造成的后果，由报考者自负。</w:t>
      </w:r>
    </w:p>
    <w:p>
      <w:pPr>
        <w:overflowPunct w:val="0"/>
        <w:topLinePunct/>
        <w:spacing w:line="600" w:lineRule="exact"/>
        <w:ind w:firstLine="640" w:firstLineChars="200"/>
        <w:rPr>
          <w:rFonts w:eastAsia="黑体"/>
          <w:sz w:val="32"/>
          <w:szCs w:val="32"/>
        </w:rPr>
      </w:pPr>
      <w:r>
        <w:rPr>
          <w:rFonts w:eastAsia="黑体"/>
          <w:sz w:val="32"/>
          <w:szCs w:val="32"/>
        </w:rPr>
        <w:t>十一、有关咨询、监督电话</w:t>
      </w:r>
    </w:p>
    <w:p>
      <w:pPr>
        <w:overflowPunct w:val="0"/>
        <w:topLinePunct/>
        <w:spacing w:line="600" w:lineRule="exact"/>
        <w:ind w:firstLine="640" w:firstLineChars="200"/>
        <w:rPr>
          <w:rFonts w:eastAsia="仿宋_GB2312"/>
          <w:sz w:val="32"/>
          <w:szCs w:val="32"/>
        </w:rPr>
      </w:pPr>
      <w:r>
        <w:rPr>
          <w:rFonts w:eastAsia="仿宋_GB2312"/>
          <w:sz w:val="32"/>
          <w:szCs w:val="32"/>
        </w:rPr>
        <w:t>咨询电话：028-85533328（四川省生态环境科学研究院）</w:t>
      </w:r>
    </w:p>
    <w:p>
      <w:pPr>
        <w:overflowPunct w:val="0"/>
        <w:topLinePunct/>
        <w:spacing w:line="600" w:lineRule="exact"/>
        <w:ind w:firstLine="640" w:firstLineChars="200"/>
        <w:rPr>
          <w:rFonts w:eastAsia="仿宋_GB2312"/>
          <w:sz w:val="32"/>
          <w:szCs w:val="32"/>
        </w:rPr>
      </w:pPr>
      <w:r>
        <w:rPr>
          <w:rFonts w:eastAsia="仿宋_GB2312"/>
          <w:sz w:val="32"/>
          <w:szCs w:val="32"/>
        </w:rPr>
        <w:t>监督电话：028-8</w:t>
      </w:r>
      <w:r>
        <w:rPr>
          <w:rFonts w:hint="eastAsia" w:eastAsia="仿宋_GB2312"/>
          <w:sz w:val="32"/>
          <w:szCs w:val="32"/>
        </w:rPr>
        <w:t>5589448</w:t>
      </w:r>
      <w:r>
        <w:rPr>
          <w:rFonts w:eastAsia="仿宋_GB2312"/>
          <w:sz w:val="32"/>
          <w:szCs w:val="32"/>
        </w:rPr>
        <w:t>（四川省生态环境科学研究院纪委）</w:t>
      </w:r>
    </w:p>
    <w:p>
      <w:pPr>
        <w:overflowPunct w:val="0"/>
        <w:topLinePunct/>
        <w:spacing w:line="600" w:lineRule="exact"/>
        <w:ind w:firstLine="640" w:firstLineChars="200"/>
        <w:rPr>
          <w:rFonts w:eastAsia="仿宋_GB2312"/>
          <w:sz w:val="32"/>
          <w:szCs w:val="32"/>
        </w:rPr>
      </w:pPr>
      <w:r>
        <w:rPr>
          <w:rFonts w:eastAsia="仿宋_GB2312"/>
          <w:sz w:val="32"/>
          <w:szCs w:val="32"/>
        </w:rPr>
        <w:t>网站技术咨询电话：028-86740101（工作日）</w:t>
      </w:r>
    </w:p>
    <w:p>
      <w:pPr>
        <w:overflowPunct w:val="0"/>
        <w:topLinePunct/>
        <w:spacing w:line="600" w:lineRule="exact"/>
        <w:ind w:firstLine="640" w:firstLineChars="200"/>
        <w:rPr>
          <w:rFonts w:eastAsia="仿宋_GB2312"/>
          <w:sz w:val="32"/>
          <w:szCs w:val="32"/>
        </w:rPr>
      </w:pPr>
    </w:p>
    <w:p>
      <w:pPr>
        <w:overflowPunct w:val="0"/>
        <w:topLinePunct/>
        <w:spacing w:line="600" w:lineRule="exact"/>
        <w:ind w:firstLine="640" w:firstLineChars="200"/>
        <w:rPr>
          <w:rFonts w:eastAsia="仿宋_GB2312"/>
          <w:sz w:val="32"/>
          <w:szCs w:val="32"/>
        </w:rPr>
      </w:pPr>
      <w:r>
        <w:rPr>
          <w:rFonts w:eastAsia="仿宋_GB2312"/>
          <w:sz w:val="32"/>
          <w:szCs w:val="32"/>
        </w:rPr>
        <w:t>附表：四川省生态环境科学研究院2024年下半年公开考核</w:t>
      </w:r>
    </w:p>
    <w:p>
      <w:pPr>
        <w:overflowPunct w:val="0"/>
        <w:topLinePunct/>
        <w:spacing w:line="600" w:lineRule="exact"/>
        <w:ind w:firstLine="1600" w:firstLineChars="500"/>
        <w:rPr>
          <w:rFonts w:eastAsia="仿宋_GB2312"/>
          <w:sz w:val="32"/>
          <w:szCs w:val="32"/>
        </w:rPr>
      </w:pPr>
      <w:r>
        <w:rPr>
          <w:rFonts w:eastAsia="仿宋_GB2312"/>
          <w:sz w:val="32"/>
          <w:szCs w:val="32"/>
        </w:rPr>
        <w:t>招聘专业技术人员岗位和条件要求一览表</w:t>
      </w:r>
    </w:p>
    <w:p>
      <w:pPr>
        <w:overflowPunct w:val="0"/>
        <w:topLinePunct/>
        <w:spacing w:line="600" w:lineRule="exact"/>
        <w:ind w:firstLine="2240" w:firstLineChars="700"/>
        <w:rPr>
          <w:rFonts w:eastAsia="黑体"/>
          <w:sz w:val="32"/>
          <w:szCs w:val="32"/>
        </w:rPr>
      </w:pPr>
      <w:r>
        <w:rPr>
          <w:rFonts w:eastAsia="仿宋_GB2312"/>
          <w:sz w:val="32"/>
          <w:szCs w:val="32"/>
        </w:rPr>
        <w:t xml:space="preserve">       </w:t>
      </w:r>
    </w:p>
    <w:p>
      <w:pPr>
        <w:widowControl/>
        <w:overflowPunct w:val="0"/>
        <w:topLinePunct/>
        <w:spacing w:line="600" w:lineRule="exact"/>
        <w:jc w:val="left"/>
        <w:rPr>
          <w:rFonts w:eastAsia="黑体"/>
          <w:sz w:val="32"/>
          <w:szCs w:val="32"/>
        </w:rPr>
      </w:pPr>
    </w:p>
    <w:p>
      <w:pPr>
        <w:overflowPunct w:val="0"/>
        <w:topLinePunct/>
        <w:spacing w:line="600" w:lineRule="exact"/>
        <w:ind w:right="1260" w:rightChars="600" w:firstLine="1440" w:firstLineChars="450"/>
        <w:jc w:val="right"/>
        <w:rPr>
          <w:rFonts w:eastAsia="仿宋_GB2312"/>
          <w:sz w:val="32"/>
          <w:szCs w:val="32"/>
        </w:rPr>
      </w:pPr>
      <w:r>
        <w:rPr>
          <w:rFonts w:eastAsia="仿宋_GB2312"/>
          <w:sz w:val="32"/>
          <w:szCs w:val="32"/>
        </w:rPr>
        <w:t>四川省生态环境科学研究院</w:t>
      </w:r>
    </w:p>
    <w:p>
      <w:pPr>
        <w:wordWrap w:val="0"/>
        <w:overflowPunct w:val="0"/>
        <w:topLinePunct/>
        <w:spacing w:line="600" w:lineRule="exact"/>
        <w:ind w:right="1260" w:rightChars="600" w:firstLine="1440" w:firstLineChars="450"/>
        <w:jc w:val="right"/>
        <w:rPr>
          <w:rFonts w:eastAsia="仿宋_GB2312"/>
          <w:sz w:val="32"/>
          <w:szCs w:val="32"/>
        </w:rPr>
      </w:pPr>
      <w:r>
        <w:rPr>
          <w:rFonts w:eastAsia="仿宋_GB2312"/>
          <w:sz w:val="32"/>
          <w:szCs w:val="32"/>
        </w:rPr>
        <w:t>2024年11月1</w:t>
      </w:r>
      <w:r>
        <w:rPr>
          <w:rFonts w:hint="default" w:eastAsia="仿宋_GB2312"/>
          <w:sz w:val="32"/>
          <w:szCs w:val="32"/>
          <w:lang w:val="en-US"/>
        </w:rPr>
        <w:t>4</w:t>
      </w:r>
      <w:r>
        <w:rPr>
          <w:rFonts w:eastAsia="仿宋_GB2312"/>
          <w:sz w:val="32"/>
          <w:szCs w:val="32"/>
        </w:rPr>
        <w:t xml:space="preserve">日    </w:t>
      </w:r>
    </w:p>
    <w:p>
      <w:pPr>
        <w:widowControl/>
        <w:overflowPunct w:val="0"/>
        <w:topLinePunct/>
        <w:jc w:val="left"/>
        <w:rPr>
          <w:rFonts w:eastAsia="黑体"/>
          <w:sz w:val="32"/>
          <w:szCs w:val="32"/>
        </w:rPr>
        <w:sectPr>
          <w:footerReference r:id="rId3" w:type="default"/>
          <w:footerReference r:id="rId4" w:type="even"/>
          <w:pgSz w:w="11906" w:h="16838"/>
          <w:pgMar w:top="2098" w:right="1474" w:bottom="1985" w:left="1588" w:header="851" w:footer="1701" w:gutter="0"/>
          <w:cols w:space="720" w:num="1"/>
          <w:docGrid w:type="lines" w:linePitch="312" w:charSpace="0"/>
        </w:sectPr>
      </w:pPr>
    </w:p>
    <w:p>
      <w:pPr>
        <w:overflowPunct w:val="0"/>
        <w:topLinePunct/>
        <w:rPr>
          <w:rFonts w:eastAsia="黑体"/>
          <w:sz w:val="32"/>
          <w:szCs w:val="32"/>
        </w:rPr>
      </w:pPr>
      <w:r>
        <w:rPr>
          <w:rFonts w:eastAsia="黑体"/>
          <w:sz w:val="32"/>
          <w:szCs w:val="32"/>
        </w:rPr>
        <w:t>附表</w:t>
      </w:r>
    </w:p>
    <w:p>
      <w:pPr>
        <w:overflowPunct w:val="0"/>
        <w:topLinePunct/>
        <w:rPr>
          <w:rFonts w:eastAsia="黑体"/>
          <w:sz w:val="32"/>
          <w:szCs w:val="32"/>
        </w:rPr>
      </w:pPr>
      <w:r>
        <w:rPr>
          <w:rFonts w:eastAsia="黑体"/>
          <w:sz w:val="32"/>
          <w:szCs w:val="32"/>
        </w:rPr>
        <w:t xml:space="preserve"> </w:t>
      </w:r>
    </w:p>
    <w:p>
      <w:pPr>
        <w:overflowPunct w:val="0"/>
        <w:topLinePunct/>
        <w:spacing w:line="560" w:lineRule="exact"/>
        <w:jc w:val="center"/>
        <w:rPr>
          <w:rFonts w:eastAsia="方正小标宋简体"/>
          <w:sz w:val="44"/>
          <w:szCs w:val="44"/>
        </w:rPr>
      </w:pPr>
      <w:r>
        <w:rPr>
          <w:rFonts w:eastAsia="方正小标宋简体"/>
          <w:sz w:val="44"/>
          <w:szCs w:val="44"/>
        </w:rPr>
        <w:t>四川省生态环境科学研究院2024年下半年</w:t>
      </w:r>
    </w:p>
    <w:p>
      <w:pPr>
        <w:overflowPunct w:val="0"/>
        <w:topLinePunct/>
        <w:spacing w:line="560" w:lineRule="exact"/>
        <w:jc w:val="center"/>
        <w:rPr>
          <w:rFonts w:eastAsia="黑体"/>
          <w:sz w:val="44"/>
          <w:szCs w:val="44"/>
        </w:rPr>
      </w:pPr>
      <w:r>
        <w:rPr>
          <w:rFonts w:eastAsia="方正小标宋简体"/>
          <w:sz w:val="44"/>
          <w:szCs w:val="44"/>
        </w:rPr>
        <w:t>公开考核招聘专业技术人员岗位和条件要求一览表</w:t>
      </w:r>
    </w:p>
    <w:p>
      <w:pPr>
        <w:overflowPunct w:val="0"/>
        <w:topLinePunct/>
        <w:jc w:val="center"/>
        <w:rPr>
          <w:rFonts w:eastAsia="仿宋"/>
          <w:sz w:val="30"/>
          <w:szCs w:val="30"/>
        </w:rPr>
      </w:pPr>
    </w:p>
    <w:tbl>
      <w:tblPr>
        <w:tblStyle w:val="5"/>
        <w:tblW w:w="14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1134"/>
        <w:gridCol w:w="1134"/>
        <w:gridCol w:w="1276"/>
        <w:gridCol w:w="992"/>
        <w:gridCol w:w="992"/>
        <w:gridCol w:w="1456"/>
        <w:gridCol w:w="1559"/>
        <w:gridCol w:w="1276"/>
        <w:gridCol w:w="1275"/>
        <w:gridCol w:w="1275"/>
        <w:gridCol w:w="2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blHeader/>
          <w:jc w:val="center"/>
        </w:trPr>
        <w:tc>
          <w:tcPr>
            <w:tcW w:w="1134" w:type="dxa"/>
            <w:vMerge w:val="restart"/>
            <w:tcBorders>
              <w:top w:val="single" w:color="auto" w:sz="4" w:space="0"/>
              <w:left w:val="single" w:color="auto" w:sz="4" w:space="0"/>
              <w:bottom w:val="single" w:color="auto" w:sz="4" w:space="0"/>
              <w:right w:val="single" w:color="auto" w:sz="4" w:space="0"/>
            </w:tcBorders>
            <w:vAlign w:val="center"/>
          </w:tcPr>
          <w:p>
            <w:pPr>
              <w:overflowPunct w:val="0"/>
              <w:topLinePunct/>
              <w:jc w:val="center"/>
              <w:rPr>
                <w:rFonts w:eastAsia="黑体"/>
              </w:rPr>
            </w:pPr>
            <w:r>
              <w:rPr>
                <w:rFonts w:eastAsia="黑体"/>
              </w:rPr>
              <w:t>招聘单位</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overflowPunct w:val="0"/>
              <w:topLinePunct/>
              <w:jc w:val="center"/>
              <w:rPr>
                <w:rFonts w:eastAsia="黑体"/>
              </w:rPr>
            </w:pPr>
            <w:r>
              <w:rPr>
                <w:rFonts w:eastAsia="黑体"/>
              </w:rPr>
              <w:t>招聘岗位</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overflowPunct w:val="0"/>
              <w:topLinePunct/>
              <w:jc w:val="center"/>
              <w:rPr>
                <w:rFonts w:eastAsia="黑体"/>
              </w:rPr>
            </w:pPr>
            <w:r>
              <w:rPr>
                <w:rFonts w:eastAsia="黑体"/>
              </w:rPr>
              <w:t>岗位类别</w:t>
            </w:r>
          </w:p>
        </w:tc>
        <w:tc>
          <w:tcPr>
            <w:tcW w:w="992" w:type="dxa"/>
            <w:vMerge w:val="restart"/>
            <w:tcBorders>
              <w:top w:val="single" w:color="auto" w:sz="4" w:space="0"/>
              <w:left w:val="single" w:color="auto" w:sz="4" w:space="0"/>
              <w:right w:val="single" w:color="auto" w:sz="4" w:space="0"/>
            </w:tcBorders>
            <w:vAlign w:val="center"/>
          </w:tcPr>
          <w:p>
            <w:pPr>
              <w:overflowPunct w:val="0"/>
              <w:topLinePunct/>
              <w:jc w:val="center"/>
              <w:rPr>
                <w:rFonts w:eastAsia="黑体"/>
              </w:rPr>
            </w:pPr>
            <w:r>
              <w:rPr>
                <w:rFonts w:hint="eastAsia" w:eastAsia="黑体"/>
              </w:rPr>
              <w:t>岗位编码</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overflowPunct w:val="0"/>
              <w:topLinePunct/>
              <w:jc w:val="center"/>
              <w:rPr>
                <w:rFonts w:eastAsia="黑体"/>
              </w:rPr>
            </w:pPr>
            <w:r>
              <w:rPr>
                <w:rFonts w:eastAsia="黑体"/>
              </w:rPr>
              <w:t>招聘人数</w:t>
            </w:r>
          </w:p>
        </w:tc>
        <w:tc>
          <w:tcPr>
            <w:tcW w:w="1456" w:type="dxa"/>
            <w:vMerge w:val="restart"/>
            <w:tcBorders>
              <w:top w:val="single" w:color="auto" w:sz="4" w:space="0"/>
              <w:left w:val="single" w:color="auto" w:sz="4" w:space="0"/>
              <w:right w:val="single" w:color="auto" w:sz="4" w:space="0"/>
            </w:tcBorders>
            <w:vAlign w:val="center"/>
          </w:tcPr>
          <w:p>
            <w:pPr>
              <w:overflowPunct w:val="0"/>
              <w:topLinePunct/>
              <w:jc w:val="center"/>
              <w:rPr>
                <w:rFonts w:eastAsia="黑体"/>
              </w:rPr>
            </w:pPr>
            <w:r>
              <w:rPr>
                <w:rFonts w:eastAsia="黑体"/>
              </w:rPr>
              <w:t>年龄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overflowPunct w:val="0"/>
              <w:topLinePunct/>
              <w:jc w:val="center"/>
              <w:rPr>
                <w:rFonts w:eastAsia="黑体"/>
              </w:rPr>
            </w:pPr>
            <w:r>
              <w:rPr>
                <w:rFonts w:hint="eastAsia" w:eastAsia="黑体"/>
              </w:rPr>
              <w:t>学历及专业</w:t>
            </w:r>
          </w:p>
        </w:tc>
        <w:tc>
          <w:tcPr>
            <w:tcW w:w="2550" w:type="dxa"/>
            <w:gridSpan w:val="2"/>
            <w:tcBorders>
              <w:top w:val="single" w:color="auto" w:sz="4" w:space="0"/>
              <w:left w:val="single" w:color="auto" w:sz="4" w:space="0"/>
              <w:bottom w:val="single" w:color="auto" w:sz="4" w:space="0"/>
              <w:right w:val="single" w:color="auto" w:sz="4" w:space="0"/>
            </w:tcBorders>
            <w:vAlign w:val="center"/>
          </w:tcPr>
          <w:p>
            <w:pPr>
              <w:overflowPunct w:val="0"/>
              <w:topLinePunct/>
              <w:jc w:val="center"/>
              <w:rPr>
                <w:rFonts w:eastAsia="黑体"/>
              </w:rPr>
            </w:pPr>
            <w:r>
              <w:rPr>
                <w:rFonts w:hint="eastAsia" w:eastAsia="黑体"/>
              </w:rPr>
              <w:t>职称</w:t>
            </w:r>
          </w:p>
        </w:tc>
        <w:tc>
          <w:tcPr>
            <w:tcW w:w="2293" w:type="dxa"/>
            <w:vMerge w:val="restart"/>
            <w:tcBorders>
              <w:top w:val="single" w:color="auto" w:sz="4" w:space="0"/>
              <w:left w:val="single" w:color="auto" w:sz="4" w:space="0"/>
              <w:bottom w:val="single" w:color="auto" w:sz="4" w:space="0"/>
              <w:right w:val="single" w:color="auto" w:sz="4" w:space="0"/>
            </w:tcBorders>
            <w:vAlign w:val="center"/>
          </w:tcPr>
          <w:p>
            <w:pPr>
              <w:overflowPunct w:val="0"/>
              <w:topLinePunct/>
              <w:jc w:val="center"/>
              <w:rPr>
                <w:rFonts w:eastAsia="黑体"/>
              </w:rPr>
            </w:pPr>
            <w:r>
              <w:rPr>
                <w:rFonts w:eastAsia="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blHeader/>
          <w:jc w:val="center"/>
        </w:trPr>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overflowPunct w:val="0"/>
              <w:topLinePunct/>
              <w:jc w:val="center"/>
              <w:rPr>
                <w:rFonts w:eastAsia="黑体"/>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overflowPunct w:val="0"/>
              <w:topLinePunct/>
              <w:jc w:val="center"/>
              <w:rPr>
                <w:rFonts w:eastAsia="黑体"/>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overflowPunct w:val="0"/>
              <w:topLinePunct/>
              <w:jc w:val="center"/>
              <w:rPr>
                <w:rFonts w:eastAsia="黑体"/>
                <w:szCs w:val="21"/>
              </w:rPr>
            </w:pPr>
          </w:p>
        </w:tc>
        <w:tc>
          <w:tcPr>
            <w:tcW w:w="992" w:type="dxa"/>
            <w:vMerge w:val="continue"/>
            <w:tcBorders>
              <w:left w:val="single" w:color="auto" w:sz="4" w:space="0"/>
              <w:bottom w:val="single" w:color="auto" w:sz="4" w:space="0"/>
              <w:right w:val="single" w:color="auto" w:sz="4" w:space="0"/>
            </w:tcBorders>
            <w:vAlign w:val="center"/>
          </w:tcPr>
          <w:p>
            <w:pPr>
              <w:widowControl/>
              <w:overflowPunct w:val="0"/>
              <w:topLinePunct/>
              <w:jc w:val="center"/>
              <w:rPr>
                <w:rFonts w:eastAsia="黑体"/>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overflowPunct w:val="0"/>
              <w:topLinePunct/>
              <w:jc w:val="center"/>
              <w:rPr>
                <w:rFonts w:eastAsia="黑体"/>
                <w:szCs w:val="21"/>
              </w:rPr>
            </w:pPr>
          </w:p>
        </w:tc>
        <w:tc>
          <w:tcPr>
            <w:tcW w:w="1456" w:type="dxa"/>
            <w:vMerge w:val="continue"/>
            <w:tcBorders>
              <w:left w:val="single" w:color="auto" w:sz="4" w:space="0"/>
              <w:bottom w:val="single" w:color="auto" w:sz="4" w:space="0"/>
              <w:right w:val="single" w:color="auto" w:sz="4" w:space="0"/>
            </w:tcBorders>
            <w:vAlign w:val="center"/>
          </w:tcPr>
          <w:p>
            <w:pPr>
              <w:overflowPunct w:val="0"/>
              <w:topLinePunct/>
              <w:jc w:val="center"/>
              <w:rPr>
                <w:rFonts w:eastAsia="黑体"/>
              </w:rPr>
            </w:pPr>
          </w:p>
        </w:tc>
        <w:tc>
          <w:tcPr>
            <w:tcW w:w="1559" w:type="dxa"/>
            <w:tcBorders>
              <w:top w:val="single" w:color="auto" w:sz="4" w:space="0"/>
              <w:left w:val="single" w:color="auto" w:sz="4" w:space="0"/>
              <w:bottom w:val="single" w:color="auto" w:sz="4" w:space="0"/>
              <w:right w:val="single" w:color="auto" w:sz="4" w:space="0"/>
            </w:tcBorders>
            <w:vAlign w:val="center"/>
          </w:tcPr>
          <w:p>
            <w:pPr>
              <w:overflowPunct w:val="0"/>
              <w:topLinePunct/>
              <w:jc w:val="center"/>
              <w:rPr>
                <w:rFonts w:eastAsia="黑体"/>
              </w:rPr>
            </w:pPr>
            <w:r>
              <w:rPr>
                <w:rFonts w:eastAsia="黑体"/>
              </w:rPr>
              <w:t>学历学位</w:t>
            </w:r>
          </w:p>
        </w:tc>
        <w:tc>
          <w:tcPr>
            <w:tcW w:w="1276" w:type="dxa"/>
            <w:tcBorders>
              <w:top w:val="single" w:color="auto" w:sz="4" w:space="0"/>
              <w:left w:val="single" w:color="auto" w:sz="4" w:space="0"/>
              <w:bottom w:val="single" w:color="auto" w:sz="4" w:space="0"/>
              <w:right w:val="single" w:color="auto" w:sz="4" w:space="0"/>
            </w:tcBorders>
            <w:vAlign w:val="center"/>
          </w:tcPr>
          <w:p>
            <w:pPr>
              <w:overflowPunct w:val="0"/>
              <w:topLinePunct/>
              <w:jc w:val="center"/>
              <w:rPr>
                <w:rFonts w:eastAsia="黑体"/>
              </w:rPr>
            </w:pPr>
            <w:r>
              <w:rPr>
                <w:rFonts w:eastAsia="黑体"/>
              </w:rPr>
              <w:t>专业</w:t>
            </w:r>
          </w:p>
        </w:tc>
        <w:tc>
          <w:tcPr>
            <w:tcW w:w="1275" w:type="dxa"/>
            <w:tcBorders>
              <w:top w:val="single" w:color="auto" w:sz="4" w:space="0"/>
              <w:left w:val="single" w:color="auto" w:sz="4" w:space="0"/>
              <w:bottom w:val="single" w:color="auto" w:sz="4" w:space="0"/>
              <w:right w:val="single" w:color="auto" w:sz="4" w:space="0"/>
            </w:tcBorders>
            <w:vAlign w:val="center"/>
          </w:tcPr>
          <w:p>
            <w:pPr>
              <w:overflowPunct w:val="0"/>
              <w:topLinePunct/>
              <w:jc w:val="center"/>
              <w:rPr>
                <w:rFonts w:eastAsia="黑体"/>
              </w:rPr>
            </w:pPr>
            <w:r>
              <w:rPr>
                <w:rFonts w:hint="eastAsia" w:eastAsia="黑体"/>
              </w:rPr>
              <w:t>职称级别</w:t>
            </w:r>
          </w:p>
        </w:tc>
        <w:tc>
          <w:tcPr>
            <w:tcW w:w="1275" w:type="dxa"/>
            <w:tcBorders>
              <w:top w:val="single" w:color="auto" w:sz="4" w:space="0"/>
              <w:left w:val="single" w:color="auto" w:sz="4" w:space="0"/>
              <w:bottom w:val="single" w:color="auto" w:sz="4" w:space="0"/>
              <w:right w:val="single" w:color="auto" w:sz="4" w:space="0"/>
            </w:tcBorders>
            <w:vAlign w:val="center"/>
          </w:tcPr>
          <w:p>
            <w:pPr>
              <w:overflowPunct w:val="0"/>
              <w:topLinePunct/>
              <w:jc w:val="center"/>
              <w:rPr>
                <w:rFonts w:eastAsia="黑体"/>
              </w:rPr>
            </w:pPr>
            <w:r>
              <w:rPr>
                <w:rFonts w:eastAsia="黑体"/>
              </w:rPr>
              <w:t>职称专业</w:t>
            </w:r>
          </w:p>
        </w:tc>
        <w:tc>
          <w:tcPr>
            <w:tcW w:w="2293" w:type="dxa"/>
            <w:vMerge w:val="continue"/>
            <w:tcBorders>
              <w:top w:val="single" w:color="auto" w:sz="4" w:space="0"/>
              <w:left w:val="single" w:color="auto" w:sz="4" w:space="0"/>
              <w:bottom w:val="single" w:color="auto" w:sz="4" w:space="0"/>
              <w:right w:val="single" w:color="auto" w:sz="4" w:space="0"/>
            </w:tcBorders>
            <w:vAlign w:val="center"/>
          </w:tcPr>
          <w:p>
            <w:pPr>
              <w:widowControl/>
              <w:overflowPunct w:val="0"/>
              <w:topLinePunct/>
              <w:jc w:val="cente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269" w:hRule="atLeast"/>
          <w:jc w:val="center"/>
        </w:trPr>
        <w:tc>
          <w:tcPr>
            <w:tcW w:w="1134" w:type="dxa"/>
            <w:vMerge w:val="restart"/>
            <w:tcBorders>
              <w:top w:val="single" w:color="auto" w:sz="4" w:space="0"/>
              <w:left w:val="single" w:color="auto" w:sz="4" w:space="0"/>
              <w:right w:val="single" w:color="auto" w:sz="4" w:space="0"/>
            </w:tcBorders>
            <w:noWrap/>
            <w:vAlign w:val="center"/>
          </w:tcPr>
          <w:p>
            <w:pPr>
              <w:overflowPunct w:val="0"/>
              <w:topLinePunct/>
              <w:jc w:val="center"/>
              <w:rPr>
                <w:rFonts w:eastAsia="仿宋_GB2312"/>
              </w:rPr>
            </w:pPr>
            <w:r>
              <w:rPr>
                <w:rFonts w:eastAsia="仿宋_GB2312"/>
              </w:rPr>
              <w:t>四川省生态环境科学研究院</w:t>
            </w:r>
          </w:p>
        </w:tc>
        <w:tc>
          <w:tcPr>
            <w:tcW w:w="1134" w:type="dxa"/>
            <w:tcBorders>
              <w:top w:val="single" w:color="auto" w:sz="4" w:space="0"/>
              <w:left w:val="single" w:color="auto" w:sz="4" w:space="0"/>
              <w:bottom w:val="single" w:color="auto" w:sz="4" w:space="0"/>
              <w:right w:val="single" w:color="auto" w:sz="4" w:space="0"/>
            </w:tcBorders>
            <w:noWrap/>
            <w:vAlign w:val="center"/>
          </w:tcPr>
          <w:p>
            <w:pPr>
              <w:overflowPunct w:val="0"/>
              <w:topLinePunct/>
              <w:jc w:val="center"/>
              <w:rPr>
                <w:rFonts w:eastAsia="仿宋_GB2312"/>
              </w:rPr>
            </w:pPr>
            <w:r>
              <w:rPr>
                <w:rFonts w:eastAsia="仿宋_GB2312"/>
              </w:rPr>
              <w:t>新污染物防治岗位</w:t>
            </w:r>
          </w:p>
        </w:tc>
        <w:tc>
          <w:tcPr>
            <w:tcW w:w="1276" w:type="dxa"/>
            <w:tcBorders>
              <w:top w:val="single" w:color="auto" w:sz="4" w:space="0"/>
              <w:left w:val="single" w:color="auto" w:sz="4" w:space="0"/>
              <w:bottom w:val="single" w:color="auto" w:sz="4" w:space="0"/>
              <w:right w:val="single" w:color="auto" w:sz="4" w:space="0"/>
            </w:tcBorders>
            <w:noWrap/>
            <w:vAlign w:val="center"/>
          </w:tcPr>
          <w:p>
            <w:pPr>
              <w:overflowPunct w:val="0"/>
              <w:topLinePunct/>
              <w:jc w:val="center"/>
              <w:rPr>
                <w:rFonts w:eastAsia="仿宋_GB2312"/>
              </w:rPr>
            </w:pPr>
            <w:r>
              <w:rPr>
                <w:rFonts w:eastAsia="仿宋_GB2312"/>
              </w:rPr>
              <w:t>专业技术岗位</w:t>
            </w:r>
          </w:p>
        </w:tc>
        <w:tc>
          <w:tcPr>
            <w:tcW w:w="992" w:type="dxa"/>
            <w:tcBorders>
              <w:top w:val="single" w:color="auto" w:sz="4" w:space="0"/>
              <w:left w:val="single" w:color="auto" w:sz="4" w:space="0"/>
              <w:bottom w:val="single" w:color="auto" w:sz="4" w:space="0"/>
              <w:right w:val="single" w:color="auto" w:sz="4" w:space="0"/>
            </w:tcBorders>
            <w:noWrap/>
            <w:vAlign w:val="center"/>
          </w:tcPr>
          <w:p>
            <w:pPr>
              <w:overflowPunct w:val="0"/>
              <w:topLinePunct/>
              <w:jc w:val="center"/>
              <w:rPr>
                <w:rFonts w:eastAsia="仿宋_GB2312"/>
              </w:rPr>
            </w:pPr>
            <w:r>
              <w:rPr>
                <w:rFonts w:hint="eastAsia" w:eastAsia="仿宋_GB2312"/>
              </w:rPr>
              <w:t>20240001</w:t>
            </w:r>
          </w:p>
        </w:tc>
        <w:tc>
          <w:tcPr>
            <w:tcW w:w="992" w:type="dxa"/>
            <w:tcBorders>
              <w:top w:val="single" w:color="auto" w:sz="4" w:space="0"/>
              <w:left w:val="single" w:color="auto" w:sz="4" w:space="0"/>
              <w:bottom w:val="single" w:color="auto" w:sz="4" w:space="0"/>
              <w:right w:val="single" w:color="auto" w:sz="4" w:space="0"/>
            </w:tcBorders>
            <w:noWrap/>
            <w:vAlign w:val="center"/>
          </w:tcPr>
          <w:p>
            <w:pPr>
              <w:overflowPunct w:val="0"/>
              <w:topLinePunct/>
              <w:jc w:val="center"/>
              <w:rPr>
                <w:rFonts w:eastAsia="仿宋_GB2312"/>
              </w:rPr>
            </w:pPr>
            <w:r>
              <w:rPr>
                <w:rFonts w:eastAsia="仿宋_GB2312"/>
              </w:rPr>
              <w:t>1</w:t>
            </w:r>
          </w:p>
        </w:tc>
        <w:tc>
          <w:tcPr>
            <w:tcW w:w="1456" w:type="dxa"/>
            <w:tcBorders>
              <w:top w:val="single" w:color="auto" w:sz="4" w:space="0"/>
              <w:left w:val="single" w:color="auto" w:sz="4" w:space="0"/>
              <w:bottom w:val="single" w:color="auto" w:sz="4" w:space="0"/>
              <w:right w:val="single" w:color="auto" w:sz="4" w:space="0"/>
            </w:tcBorders>
            <w:noWrap/>
            <w:vAlign w:val="center"/>
          </w:tcPr>
          <w:p>
            <w:pPr>
              <w:overflowPunct w:val="0"/>
              <w:topLinePunct/>
              <w:jc w:val="center"/>
              <w:rPr>
                <w:rFonts w:eastAsia="仿宋_GB2312"/>
              </w:rPr>
            </w:pPr>
            <w:r>
              <w:rPr>
                <w:rFonts w:eastAsia="仿宋_GB2312"/>
              </w:rPr>
              <w:t>1979年1月1日及以后出生</w:t>
            </w:r>
          </w:p>
        </w:tc>
        <w:tc>
          <w:tcPr>
            <w:tcW w:w="1559" w:type="dxa"/>
            <w:tcBorders>
              <w:top w:val="single" w:color="auto" w:sz="4" w:space="0"/>
              <w:left w:val="single" w:color="auto" w:sz="4" w:space="0"/>
              <w:bottom w:val="single" w:color="auto" w:sz="4" w:space="0"/>
              <w:right w:val="single" w:color="auto" w:sz="4" w:space="0"/>
            </w:tcBorders>
            <w:vAlign w:val="center"/>
          </w:tcPr>
          <w:p>
            <w:pPr>
              <w:overflowPunct w:val="0"/>
              <w:topLinePunct/>
              <w:jc w:val="center"/>
              <w:rPr>
                <w:rFonts w:eastAsia="仿宋_GB2312"/>
              </w:rPr>
            </w:pPr>
            <w:r>
              <w:rPr>
                <w:rFonts w:eastAsia="仿宋_GB2312"/>
              </w:rPr>
              <w:t>研究生学历并取得硕士及以上学位</w:t>
            </w:r>
          </w:p>
        </w:tc>
        <w:tc>
          <w:tcPr>
            <w:tcW w:w="1276" w:type="dxa"/>
            <w:tcBorders>
              <w:top w:val="single" w:color="auto" w:sz="4" w:space="0"/>
              <w:left w:val="single" w:color="auto" w:sz="4" w:space="0"/>
              <w:bottom w:val="single" w:color="auto" w:sz="4" w:space="0"/>
              <w:right w:val="single" w:color="auto" w:sz="4" w:space="0"/>
            </w:tcBorders>
            <w:noWrap/>
            <w:vAlign w:val="center"/>
          </w:tcPr>
          <w:p>
            <w:pPr>
              <w:overflowPunct w:val="0"/>
              <w:topLinePunct/>
              <w:jc w:val="center"/>
              <w:rPr>
                <w:rFonts w:eastAsia="仿宋_GB2312"/>
              </w:rPr>
            </w:pPr>
            <w:r>
              <w:rPr>
                <w:rFonts w:eastAsia="仿宋_GB2312"/>
              </w:rPr>
              <w:t>环境工程专业、土壤学专业</w:t>
            </w:r>
          </w:p>
        </w:tc>
        <w:tc>
          <w:tcPr>
            <w:tcW w:w="1275" w:type="dxa"/>
            <w:tcBorders>
              <w:top w:val="single" w:color="auto" w:sz="4" w:space="0"/>
              <w:left w:val="single" w:color="auto" w:sz="4" w:space="0"/>
              <w:bottom w:val="single" w:color="auto" w:sz="4" w:space="0"/>
              <w:right w:val="single" w:color="auto" w:sz="4" w:space="0"/>
            </w:tcBorders>
            <w:vAlign w:val="center"/>
          </w:tcPr>
          <w:p>
            <w:pPr>
              <w:overflowPunct w:val="0"/>
              <w:topLinePunct/>
              <w:jc w:val="center"/>
              <w:rPr>
                <w:rFonts w:eastAsia="仿宋_GB2312"/>
                <w:szCs w:val="24"/>
              </w:rPr>
            </w:pPr>
            <w:r>
              <w:rPr>
                <w:rFonts w:eastAsia="仿宋_GB2312"/>
              </w:rPr>
              <w:t>取得高级工程师及以上专业技术任职资格人员</w:t>
            </w:r>
          </w:p>
        </w:tc>
        <w:tc>
          <w:tcPr>
            <w:tcW w:w="1275" w:type="dxa"/>
            <w:tcBorders>
              <w:top w:val="single" w:color="auto" w:sz="4" w:space="0"/>
              <w:left w:val="single" w:color="auto" w:sz="4" w:space="0"/>
              <w:bottom w:val="single" w:color="auto" w:sz="4" w:space="0"/>
              <w:right w:val="single" w:color="auto" w:sz="4" w:space="0"/>
            </w:tcBorders>
            <w:vAlign w:val="center"/>
          </w:tcPr>
          <w:p>
            <w:pPr>
              <w:overflowPunct w:val="0"/>
              <w:topLinePunct/>
              <w:jc w:val="center"/>
              <w:rPr>
                <w:rFonts w:eastAsia="仿宋_GB2312"/>
              </w:rPr>
            </w:pPr>
            <w:r>
              <w:rPr>
                <w:rFonts w:eastAsia="仿宋_GB2312"/>
              </w:rPr>
              <w:t>工程系列</w:t>
            </w:r>
          </w:p>
          <w:p>
            <w:pPr>
              <w:overflowPunct w:val="0"/>
              <w:topLinePunct/>
              <w:jc w:val="center"/>
              <w:rPr>
                <w:rFonts w:eastAsia="仿宋_GB2312"/>
              </w:rPr>
            </w:pPr>
            <w:r>
              <w:rPr>
                <w:rFonts w:eastAsia="仿宋_GB2312"/>
              </w:rPr>
              <w:t>环境类专业</w:t>
            </w:r>
          </w:p>
        </w:tc>
        <w:tc>
          <w:tcPr>
            <w:tcW w:w="2293"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具有2年以上新污染治理技术工作经历</w:t>
            </w:r>
            <w:r>
              <w:rPr>
                <w:rFonts w:hint="eastAsia" w:eastAsia="仿宋_GB2312"/>
              </w:rPr>
              <w:t>；最低服务年限5年。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860" w:hRule="atLeast"/>
          <w:jc w:val="center"/>
        </w:trPr>
        <w:tc>
          <w:tcPr>
            <w:tcW w:w="1134" w:type="dxa"/>
            <w:vMerge w:val="continue"/>
            <w:tcBorders>
              <w:top w:val="single" w:color="auto" w:sz="4" w:space="0"/>
              <w:left w:val="single" w:color="auto" w:sz="4" w:space="0"/>
              <w:right w:val="single" w:color="auto" w:sz="4" w:space="0"/>
            </w:tcBorders>
            <w:noWrap/>
            <w:vAlign w:val="center"/>
          </w:tcPr>
          <w:p>
            <w:pPr>
              <w:overflowPunct w:val="0"/>
              <w:topLinePunct/>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noWrap/>
            <w:vAlign w:val="center"/>
          </w:tcPr>
          <w:p>
            <w:pPr>
              <w:overflowPunct w:val="0"/>
              <w:topLinePunct/>
              <w:jc w:val="center"/>
              <w:rPr>
                <w:rFonts w:eastAsia="仿宋_GB2312"/>
              </w:rPr>
            </w:pPr>
            <w:r>
              <w:rPr>
                <w:rFonts w:eastAsia="仿宋_GB2312"/>
              </w:rPr>
              <w:t>农村污水治理及研究岗位</w:t>
            </w:r>
          </w:p>
        </w:tc>
        <w:tc>
          <w:tcPr>
            <w:tcW w:w="1276" w:type="dxa"/>
            <w:tcBorders>
              <w:top w:val="single" w:color="auto" w:sz="4" w:space="0"/>
              <w:left w:val="single" w:color="auto" w:sz="4" w:space="0"/>
              <w:bottom w:val="single" w:color="auto" w:sz="4" w:space="0"/>
              <w:right w:val="single" w:color="auto" w:sz="4" w:space="0"/>
            </w:tcBorders>
            <w:noWrap/>
            <w:vAlign w:val="center"/>
          </w:tcPr>
          <w:p>
            <w:pPr>
              <w:overflowPunct w:val="0"/>
              <w:topLinePunct/>
              <w:jc w:val="center"/>
              <w:rPr>
                <w:rFonts w:eastAsia="仿宋_GB2312"/>
              </w:rPr>
            </w:pPr>
            <w:r>
              <w:rPr>
                <w:rFonts w:eastAsia="仿宋_GB2312"/>
              </w:rPr>
              <w:t>专业技术岗位</w:t>
            </w:r>
          </w:p>
        </w:tc>
        <w:tc>
          <w:tcPr>
            <w:tcW w:w="992" w:type="dxa"/>
            <w:tcBorders>
              <w:top w:val="single" w:color="auto" w:sz="4" w:space="0"/>
              <w:left w:val="single" w:color="auto" w:sz="4" w:space="0"/>
              <w:bottom w:val="single" w:color="auto" w:sz="4" w:space="0"/>
              <w:right w:val="single" w:color="auto" w:sz="4" w:space="0"/>
            </w:tcBorders>
            <w:noWrap/>
            <w:vAlign w:val="center"/>
          </w:tcPr>
          <w:p>
            <w:pPr>
              <w:overflowPunct w:val="0"/>
              <w:topLinePunct/>
              <w:jc w:val="center"/>
              <w:rPr>
                <w:rFonts w:eastAsia="仿宋_GB2312"/>
              </w:rPr>
            </w:pPr>
            <w:r>
              <w:rPr>
                <w:rFonts w:hint="eastAsia" w:eastAsia="仿宋_GB2312"/>
              </w:rPr>
              <w:t>20240002</w:t>
            </w:r>
          </w:p>
        </w:tc>
        <w:tc>
          <w:tcPr>
            <w:tcW w:w="992" w:type="dxa"/>
            <w:tcBorders>
              <w:top w:val="single" w:color="auto" w:sz="4" w:space="0"/>
              <w:left w:val="single" w:color="auto" w:sz="4" w:space="0"/>
              <w:bottom w:val="single" w:color="auto" w:sz="4" w:space="0"/>
              <w:right w:val="single" w:color="auto" w:sz="4" w:space="0"/>
            </w:tcBorders>
            <w:noWrap/>
            <w:vAlign w:val="center"/>
          </w:tcPr>
          <w:p>
            <w:pPr>
              <w:overflowPunct w:val="0"/>
              <w:topLinePunct/>
              <w:jc w:val="center"/>
              <w:rPr>
                <w:rFonts w:eastAsia="仿宋_GB2312"/>
              </w:rPr>
            </w:pPr>
            <w:r>
              <w:rPr>
                <w:rFonts w:eastAsia="仿宋_GB2312"/>
              </w:rPr>
              <w:t>1</w:t>
            </w:r>
          </w:p>
        </w:tc>
        <w:tc>
          <w:tcPr>
            <w:tcW w:w="1456" w:type="dxa"/>
            <w:tcBorders>
              <w:top w:val="single" w:color="auto" w:sz="4" w:space="0"/>
              <w:left w:val="single" w:color="auto" w:sz="4" w:space="0"/>
              <w:bottom w:val="single" w:color="auto" w:sz="4" w:space="0"/>
              <w:right w:val="single" w:color="auto" w:sz="4" w:space="0"/>
            </w:tcBorders>
            <w:noWrap/>
            <w:vAlign w:val="center"/>
          </w:tcPr>
          <w:p>
            <w:pPr>
              <w:overflowPunct w:val="0"/>
              <w:topLinePunct/>
              <w:jc w:val="center"/>
              <w:rPr>
                <w:rFonts w:eastAsia="仿宋_GB2312"/>
              </w:rPr>
            </w:pPr>
            <w:r>
              <w:rPr>
                <w:rFonts w:eastAsia="仿宋_GB2312"/>
              </w:rPr>
              <w:t>1979年1月1日及以后出生</w:t>
            </w:r>
          </w:p>
        </w:tc>
        <w:tc>
          <w:tcPr>
            <w:tcW w:w="1559" w:type="dxa"/>
            <w:tcBorders>
              <w:top w:val="single" w:color="auto" w:sz="4" w:space="0"/>
              <w:left w:val="single" w:color="auto" w:sz="4" w:space="0"/>
              <w:bottom w:val="single" w:color="auto" w:sz="4" w:space="0"/>
              <w:right w:val="single" w:color="auto" w:sz="4" w:space="0"/>
            </w:tcBorders>
            <w:vAlign w:val="center"/>
          </w:tcPr>
          <w:p>
            <w:pPr>
              <w:overflowPunct w:val="0"/>
              <w:topLinePunct/>
              <w:jc w:val="center"/>
              <w:rPr>
                <w:rFonts w:eastAsia="仿宋_GB2312"/>
              </w:rPr>
            </w:pPr>
            <w:r>
              <w:rPr>
                <w:rFonts w:eastAsia="仿宋_GB2312"/>
              </w:rPr>
              <w:t>研究生学历并取得硕士及以上学位</w:t>
            </w:r>
          </w:p>
        </w:tc>
        <w:tc>
          <w:tcPr>
            <w:tcW w:w="1276" w:type="dxa"/>
            <w:tcBorders>
              <w:top w:val="single" w:color="auto" w:sz="4" w:space="0"/>
              <w:left w:val="single" w:color="auto" w:sz="4" w:space="0"/>
              <w:bottom w:val="single" w:color="auto" w:sz="4" w:space="0"/>
              <w:right w:val="single" w:color="auto" w:sz="4" w:space="0"/>
            </w:tcBorders>
            <w:noWrap/>
            <w:vAlign w:val="center"/>
          </w:tcPr>
          <w:p>
            <w:pPr>
              <w:overflowPunct w:val="0"/>
              <w:topLinePunct/>
              <w:jc w:val="center"/>
              <w:rPr>
                <w:rFonts w:eastAsia="仿宋_GB2312"/>
              </w:rPr>
            </w:pPr>
            <w:r>
              <w:rPr>
                <w:rFonts w:eastAsia="仿宋_GB2312"/>
              </w:rPr>
              <w:t>环境工程专业、生态学专业</w:t>
            </w:r>
          </w:p>
        </w:tc>
        <w:tc>
          <w:tcPr>
            <w:tcW w:w="1275" w:type="dxa"/>
            <w:tcBorders>
              <w:top w:val="single" w:color="auto" w:sz="4" w:space="0"/>
              <w:left w:val="single" w:color="auto" w:sz="4" w:space="0"/>
              <w:bottom w:val="single" w:color="auto" w:sz="4" w:space="0"/>
              <w:right w:val="single" w:color="auto" w:sz="4" w:space="0"/>
            </w:tcBorders>
            <w:vAlign w:val="center"/>
          </w:tcPr>
          <w:p>
            <w:pPr>
              <w:overflowPunct w:val="0"/>
              <w:topLinePunct/>
              <w:jc w:val="center"/>
              <w:rPr>
                <w:rFonts w:eastAsia="仿宋_GB2312"/>
                <w:szCs w:val="24"/>
              </w:rPr>
            </w:pPr>
            <w:r>
              <w:rPr>
                <w:rFonts w:eastAsia="仿宋_GB2312"/>
              </w:rPr>
              <w:t>取得高级工程师及以上专业技术任职资格人员</w:t>
            </w:r>
          </w:p>
        </w:tc>
        <w:tc>
          <w:tcPr>
            <w:tcW w:w="1275" w:type="dxa"/>
            <w:tcBorders>
              <w:top w:val="single" w:color="auto" w:sz="4" w:space="0"/>
              <w:left w:val="single" w:color="auto" w:sz="4" w:space="0"/>
              <w:bottom w:val="single" w:color="auto" w:sz="4" w:space="0"/>
              <w:right w:val="single" w:color="auto" w:sz="4" w:space="0"/>
            </w:tcBorders>
            <w:vAlign w:val="center"/>
          </w:tcPr>
          <w:p>
            <w:pPr>
              <w:overflowPunct w:val="0"/>
              <w:topLinePunct/>
              <w:jc w:val="center"/>
              <w:rPr>
                <w:rFonts w:eastAsia="仿宋_GB2312"/>
              </w:rPr>
            </w:pPr>
            <w:r>
              <w:rPr>
                <w:rFonts w:eastAsia="仿宋_GB2312"/>
              </w:rPr>
              <w:t>工程系列</w:t>
            </w:r>
          </w:p>
          <w:p>
            <w:pPr>
              <w:overflowPunct w:val="0"/>
              <w:topLinePunct/>
              <w:jc w:val="center"/>
              <w:rPr>
                <w:rFonts w:eastAsia="仿宋_GB2312"/>
              </w:rPr>
            </w:pPr>
            <w:r>
              <w:rPr>
                <w:rFonts w:eastAsia="仿宋_GB2312"/>
              </w:rPr>
              <w:t>环境类专业</w:t>
            </w:r>
          </w:p>
        </w:tc>
        <w:tc>
          <w:tcPr>
            <w:tcW w:w="2293"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具有2年以上水污染防治及水生态修复技术研究、农村生活污水处理工程等方面工作经历</w:t>
            </w:r>
            <w:r>
              <w:rPr>
                <w:rFonts w:hint="eastAsia" w:eastAsia="仿宋_GB2312"/>
              </w:rPr>
              <w:t>；最低服务年限5年。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97" w:hRule="atLeast"/>
          <w:jc w:val="center"/>
        </w:trPr>
        <w:tc>
          <w:tcPr>
            <w:tcW w:w="1134" w:type="dxa"/>
            <w:vMerge w:val="continue"/>
            <w:tcBorders>
              <w:top w:val="single" w:color="auto" w:sz="4" w:space="0"/>
              <w:left w:val="single" w:color="auto" w:sz="4" w:space="0"/>
              <w:right w:val="single" w:color="auto" w:sz="4" w:space="0"/>
            </w:tcBorders>
            <w:noWrap/>
            <w:vAlign w:val="center"/>
          </w:tcPr>
          <w:p>
            <w:pPr>
              <w:overflowPunct w:val="0"/>
              <w:topLinePunct/>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noWrap/>
            <w:vAlign w:val="center"/>
          </w:tcPr>
          <w:p>
            <w:pPr>
              <w:overflowPunct w:val="0"/>
              <w:topLinePunct/>
              <w:jc w:val="center"/>
              <w:rPr>
                <w:rFonts w:eastAsia="仿宋_GB2312"/>
              </w:rPr>
            </w:pPr>
            <w:r>
              <w:rPr>
                <w:rFonts w:eastAsia="仿宋_GB2312"/>
              </w:rPr>
              <w:t>大气污染防治岗位</w:t>
            </w:r>
          </w:p>
        </w:tc>
        <w:tc>
          <w:tcPr>
            <w:tcW w:w="1276" w:type="dxa"/>
            <w:tcBorders>
              <w:top w:val="single" w:color="auto" w:sz="4" w:space="0"/>
              <w:left w:val="single" w:color="auto" w:sz="4" w:space="0"/>
              <w:bottom w:val="single" w:color="auto" w:sz="4" w:space="0"/>
              <w:right w:val="single" w:color="auto" w:sz="4" w:space="0"/>
            </w:tcBorders>
            <w:noWrap/>
            <w:vAlign w:val="center"/>
          </w:tcPr>
          <w:p>
            <w:pPr>
              <w:overflowPunct w:val="0"/>
              <w:topLinePunct/>
              <w:jc w:val="center"/>
              <w:rPr>
                <w:rFonts w:eastAsia="仿宋_GB2312"/>
              </w:rPr>
            </w:pPr>
            <w:r>
              <w:rPr>
                <w:rFonts w:eastAsia="仿宋_GB2312"/>
              </w:rPr>
              <w:t>专业技术岗位</w:t>
            </w:r>
          </w:p>
        </w:tc>
        <w:tc>
          <w:tcPr>
            <w:tcW w:w="992" w:type="dxa"/>
            <w:tcBorders>
              <w:top w:val="single" w:color="auto" w:sz="4" w:space="0"/>
              <w:left w:val="single" w:color="auto" w:sz="4" w:space="0"/>
              <w:bottom w:val="single" w:color="auto" w:sz="4" w:space="0"/>
              <w:right w:val="single" w:color="auto" w:sz="4" w:space="0"/>
            </w:tcBorders>
            <w:noWrap/>
            <w:vAlign w:val="center"/>
          </w:tcPr>
          <w:p>
            <w:pPr>
              <w:overflowPunct w:val="0"/>
              <w:topLinePunct/>
              <w:jc w:val="center"/>
              <w:rPr>
                <w:rFonts w:eastAsia="仿宋_GB2312"/>
              </w:rPr>
            </w:pPr>
            <w:r>
              <w:rPr>
                <w:rFonts w:hint="eastAsia" w:eastAsia="仿宋_GB2312"/>
              </w:rPr>
              <w:t>20240003</w:t>
            </w:r>
          </w:p>
        </w:tc>
        <w:tc>
          <w:tcPr>
            <w:tcW w:w="992" w:type="dxa"/>
            <w:tcBorders>
              <w:top w:val="single" w:color="auto" w:sz="4" w:space="0"/>
              <w:left w:val="single" w:color="auto" w:sz="4" w:space="0"/>
              <w:bottom w:val="single" w:color="auto" w:sz="4" w:space="0"/>
              <w:right w:val="single" w:color="auto" w:sz="4" w:space="0"/>
            </w:tcBorders>
            <w:noWrap/>
            <w:vAlign w:val="center"/>
          </w:tcPr>
          <w:p>
            <w:pPr>
              <w:overflowPunct w:val="0"/>
              <w:topLinePunct/>
              <w:jc w:val="center"/>
              <w:rPr>
                <w:rFonts w:eastAsia="仿宋_GB2312"/>
              </w:rPr>
            </w:pPr>
            <w:r>
              <w:rPr>
                <w:rFonts w:eastAsia="仿宋_GB2312"/>
              </w:rPr>
              <w:t>1</w:t>
            </w:r>
          </w:p>
        </w:tc>
        <w:tc>
          <w:tcPr>
            <w:tcW w:w="1456" w:type="dxa"/>
            <w:tcBorders>
              <w:top w:val="single" w:color="auto" w:sz="4" w:space="0"/>
              <w:left w:val="single" w:color="auto" w:sz="4" w:space="0"/>
              <w:bottom w:val="single" w:color="auto" w:sz="4" w:space="0"/>
              <w:right w:val="single" w:color="auto" w:sz="4" w:space="0"/>
            </w:tcBorders>
            <w:noWrap/>
            <w:vAlign w:val="center"/>
          </w:tcPr>
          <w:p>
            <w:pPr>
              <w:overflowPunct w:val="0"/>
              <w:topLinePunct/>
              <w:jc w:val="center"/>
              <w:rPr>
                <w:rFonts w:eastAsia="仿宋_GB2312"/>
              </w:rPr>
            </w:pPr>
            <w:r>
              <w:rPr>
                <w:rFonts w:eastAsia="仿宋_GB2312"/>
              </w:rPr>
              <w:t>1979年1月1日及以后出生</w:t>
            </w:r>
          </w:p>
        </w:tc>
        <w:tc>
          <w:tcPr>
            <w:tcW w:w="1559" w:type="dxa"/>
            <w:tcBorders>
              <w:top w:val="single" w:color="auto" w:sz="4" w:space="0"/>
              <w:left w:val="single" w:color="auto" w:sz="4" w:space="0"/>
              <w:bottom w:val="single" w:color="auto" w:sz="4" w:space="0"/>
              <w:right w:val="single" w:color="auto" w:sz="4" w:space="0"/>
            </w:tcBorders>
            <w:vAlign w:val="center"/>
          </w:tcPr>
          <w:p>
            <w:pPr>
              <w:overflowPunct w:val="0"/>
              <w:topLinePunct/>
              <w:jc w:val="center"/>
              <w:rPr>
                <w:rFonts w:eastAsia="仿宋_GB2312"/>
              </w:rPr>
            </w:pPr>
            <w:r>
              <w:rPr>
                <w:rFonts w:eastAsia="仿宋_GB2312"/>
              </w:rPr>
              <w:t>研究生学历并取得硕士及以上学位</w:t>
            </w:r>
          </w:p>
        </w:tc>
        <w:tc>
          <w:tcPr>
            <w:tcW w:w="1276" w:type="dxa"/>
            <w:tcBorders>
              <w:top w:val="single" w:color="auto" w:sz="4" w:space="0"/>
              <w:left w:val="single" w:color="auto" w:sz="4" w:space="0"/>
              <w:bottom w:val="single" w:color="auto" w:sz="4" w:space="0"/>
              <w:right w:val="single" w:color="auto" w:sz="4" w:space="0"/>
            </w:tcBorders>
            <w:noWrap/>
            <w:vAlign w:val="center"/>
          </w:tcPr>
          <w:p>
            <w:pPr>
              <w:overflowPunct w:val="0"/>
              <w:topLinePunct/>
              <w:jc w:val="center"/>
              <w:rPr>
                <w:rFonts w:eastAsia="仿宋_GB2312"/>
              </w:rPr>
            </w:pPr>
            <w:r>
              <w:rPr>
                <w:rFonts w:eastAsia="仿宋_GB2312"/>
              </w:rPr>
              <w:t>环境工程专业、气象学专业</w:t>
            </w:r>
          </w:p>
        </w:tc>
        <w:tc>
          <w:tcPr>
            <w:tcW w:w="1275" w:type="dxa"/>
            <w:tcBorders>
              <w:top w:val="single" w:color="auto" w:sz="4" w:space="0"/>
              <w:left w:val="single" w:color="auto" w:sz="4" w:space="0"/>
              <w:bottom w:val="single" w:color="auto" w:sz="4" w:space="0"/>
              <w:right w:val="single" w:color="auto" w:sz="4" w:space="0"/>
            </w:tcBorders>
            <w:vAlign w:val="center"/>
          </w:tcPr>
          <w:p>
            <w:pPr>
              <w:overflowPunct w:val="0"/>
              <w:topLinePunct/>
              <w:jc w:val="center"/>
              <w:rPr>
                <w:rFonts w:eastAsia="仿宋_GB2312"/>
                <w:szCs w:val="24"/>
              </w:rPr>
            </w:pPr>
            <w:r>
              <w:rPr>
                <w:rFonts w:eastAsia="仿宋_GB2312"/>
              </w:rPr>
              <w:t>取得高级工程师及以上专业技术任职资格人员</w:t>
            </w:r>
          </w:p>
        </w:tc>
        <w:tc>
          <w:tcPr>
            <w:tcW w:w="1275" w:type="dxa"/>
            <w:tcBorders>
              <w:top w:val="single" w:color="auto" w:sz="4" w:space="0"/>
              <w:left w:val="single" w:color="auto" w:sz="4" w:space="0"/>
              <w:bottom w:val="single" w:color="auto" w:sz="4" w:space="0"/>
              <w:right w:val="single" w:color="auto" w:sz="4" w:space="0"/>
            </w:tcBorders>
            <w:vAlign w:val="center"/>
          </w:tcPr>
          <w:p>
            <w:pPr>
              <w:overflowPunct w:val="0"/>
              <w:topLinePunct/>
              <w:jc w:val="center"/>
              <w:rPr>
                <w:rFonts w:eastAsia="仿宋_GB2312"/>
              </w:rPr>
            </w:pPr>
            <w:r>
              <w:rPr>
                <w:rFonts w:eastAsia="仿宋_GB2312"/>
              </w:rPr>
              <w:t>工程系列</w:t>
            </w:r>
          </w:p>
          <w:p>
            <w:pPr>
              <w:overflowPunct w:val="0"/>
              <w:topLinePunct/>
              <w:jc w:val="center"/>
              <w:rPr>
                <w:rFonts w:eastAsia="仿宋_GB2312"/>
              </w:rPr>
            </w:pPr>
            <w:r>
              <w:rPr>
                <w:rFonts w:eastAsia="仿宋_GB2312"/>
              </w:rPr>
              <w:t>环境类专业</w:t>
            </w:r>
          </w:p>
        </w:tc>
        <w:tc>
          <w:tcPr>
            <w:tcW w:w="2293"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具有2年以上大气颗粒物来源解析、污染成因及管控方面的工作经历</w:t>
            </w:r>
            <w:r>
              <w:rPr>
                <w:rFonts w:hint="eastAsia" w:eastAsia="仿宋_GB2312"/>
              </w:rPr>
              <w:t>；最低服务年限5年。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34" w:type="dxa"/>
            <w:vMerge w:val="continue"/>
            <w:tcBorders>
              <w:top w:val="single" w:color="auto" w:sz="4" w:space="0"/>
              <w:left w:val="single" w:color="auto" w:sz="4" w:space="0"/>
              <w:right w:val="single" w:color="auto" w:sz="4" w:space="0"/>
            </w:tcBorders>
            <w:noWrap/>
            <w:vAlign w:val="center"/>
          </w:tcPr>
          <w:p>
            <w:pPr>
              <w:overflowPunct w:val="0"/>
              <w:topLinePunct/>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noWrap/>
            <w:vAlign w:val="center"/>
          </w:tcPr>
          <w:p>
            <w:pPr>
              <w:overflowPunct w:val="0"/>
              <w:topLinePunct/>
              <w:jc w:val="center"/>
              <w:rPr>
                <w:rFonts w:eastAsia="仿宋_GB2312"/>
              </w:rPr>
            </w:pPr>
            <w:r>
              <w:rPr>
                <w:rFonts w:eastAsia="仿宋_GB2312"/>
              </w:rPr>
              <w:t>生态保护与修复岗位</w:t>
            </w:r>
          </w:p>
        </w:tc>
        <w:tc>
          <w:tcPr>
            <w:tcW w:w="1276" w:type="dxa"/>
            <w:tcBorders>
              <w:top w:val="single" w:color="auto" w:sz="4" w:space="0"/>
              <w:left w:val="single" w:color="auto" w:sz="4" w:space="0"/>
              <w:bottom w:val="single" w:color="auto" w:sz="4" w:space="0"/>
              <w:right w:val="single" w:color="auto" w:sz="4" w:space="0"/>
            </w:tcBorders>
            <w:noWrap/>
            <w:vAlign w:val="center"/>
          </w:tcPr>
          <w:p>
            <w:pPr>
              <w:overflowPunct w:val="0"/>
              <w:topLinePunct/>
              <w:jc w:val="center"/>
              <w:rPr>
                <w:rFonts w:eastAsia="仿宋_GB2312"/>
              </w:rPr>
            </w:pPr>
            <w:r>
              <w:rPr>
                <w:rFonts w:eastAsia="仿宋_GB2312"/>
              </w:rPr>
              <w:t>专业技术岗位</w:t>
            </w:r>
          </w:p>
        </w:tc>
        <w:tc>
          <w:tcPr>
            <w:tcW w:w="992" w:type="dxa"/>
            <w:tcBorders>
              <w:top w:val="single" w:color="auto" w:sz="4" w:space="0"/>
              <w:left w:val="single" w:color="auto" w:sz="4" w:space="0"/>
              <w:bottom w:val="single" w:color="auto" w:sz="4" w:space="0"/>
              <w:right w:val="single" w:color="auto" w:sz="4" w:space="0"/>
            </w:tcBorders>
            <w:noWrap/>
            <w:vAlign w:val="center"/>
          </w:tcPr>
          <w:p>
            <w:pPr>
              <w:overflowPunct w:val="0"/>
              <w:topLinePunct/>
              <w:jc w:val="center"/>
              <w:rPr>
                <w:rFonts w:eastAsia="仿宋_GB2312"/>
              </w:rPr>
            </w:pPr>
            <w:r>
              <w:rPr>
                <w:rFonts w:hint="eastAsia" w:eastAsia="仿宋_GB2312"/>
              </w:rPr>
              <w:t>20240004</w:t>
            </w:r>
          </w:p>
        </w:tc>
        <w:tc>
          <w:tcPr>
            <w:tcW w:w="992" w:type="dxa"/>
            <w:tcBorders>
              <w:top w:val="single" w:color="auto" w:sz="4" w:space="0"/>
              <w:left w:val="single" w:color="auto" w:sz="4" w:space="0"/>
              <w:bottom w:val="single" w:color="auto" w:sz="4" w:space="0"/>
              <w:right w:val="single" w:color="auto" w:sz="4" w:space="0"/>
            </w:tcBorders>
            <w:noWrap/>
            <w:vAlign w:val="center"/>
          </w:tcPr>
          <w:p>
            <w:pPr>
              <w:overflowPunct w:val="0"/>
              <w:topLinePunct/>
              <w:jc w:val="center"/>
              <w:rPr>
                <w:rFonts w:eastAsia="仿宋_GB2312"/>
              </w:rPr>
            </w:pPr>
            <w:r>
              <w:rPr>
                <w:rFonts w:eastAsia="仿宋_GB2312"/>
              </w:rPr>
              <w:t>1</w:t>
            </w:r>
          </w:p>
        </w:tc>
        <w:tc>
          <w:tcPr>
            <w:tcW w:w="1456" w:type="dxa"/>
            <w:tcBorders>
              <w:top w:val="single" w:color="auto" w:sz="4" w:space="0"/>
              <w:left w:val="single" w:color="auto" w:sz="4" w:space="0"/>
              <w:bottom w:val="single" w:color="auto" w:sz="4" w:space="0"/>
              <w:right w:val="single" w:color="auto" w:sz="4" w:space="0"/>
            </w:tcBorders>
            <w:noWrap/>
            <w:vAlign w:val="center"/>
          </w:tcPr>
          <w:p>
            <w:pPr>
              <w:overflowPunct w:val="0"/>
              <w:topLinePunct/>
              <w:jc w:val="center"/>
              <w:rPr>
                <w:rFonts w:eastAsia="仿宋_GB2312"/>
              </w:rPr>
            </w:pPr>
            <w:r>
              <w:rPr>
                <w:rFonts w:eastAsia="仿宋_GB2312"/>
              </w:rPr>
              <w:t>1979年1月1日及以后出生</w:t>
            </w:r>
          </w:p>
        </w:tc>
        <w:tc>
          <w:tcPr>
            <w:tcW w:w="1559" w:type="dxa"/>
            <w:tcBorders>
              <w:top w:val="single" w:color="auto" w:sz="4" w:space="0"/>
              <w:left w:val="single" w:color="auto" w:sz="4" w:space="0"/>
              <w:bottom w:val="single" w:color="auto" w:sz="4" w:space="0"/>
              <w:right w:val="single" w:color="auto" w:sz="4" w:space="0"/>
            </w:tcBorders>
            <w:vAlign w:val="center"/>
          </w:tcPr>
          <w:p>
            <w:pPr>
              <w:overflowPunct w:val="0"/>
              <w:topLinePunct/>
              <w:jc w:val="center"/>
              <w:rPr>
                <w:rFonts w:eastAsia="仿宋_GB2312"/>
              </w:rPr>
            </w:pPr>
            <w:r>
              <w:rPr>
                <w:rFonts w:eastAsia="仿宋_GB2312"/>
              </w:rPr>
              <w:t>研究生学历并取得硕士及以上学位</w:t>
            </w:r>
          </w:p>
        </w:tc>
        <w:tc>
          <w:tcPr>
            <w:tcW w:w="1276" w:type="dxa"/>
            <w:tcBorders>
              <w:top w:val="single" w:color="auto" w:sz="4" w:space="0"/>
              <w:left w:val="single" w:color="auto" w:sz="4" w:space="0"/>
              <w:bottom w:val="single" w:color="auto" w:sz="4" w:space="0"/>
              <w:right w:val="single" w:color="auto" w:sz="4" w:space="0"/>
            </w:tcBorders>
            <w:noWrap/>
            <w:vAlign w:val="center"/>
          </w:tcPr>
          <w:p>
            <w:pPr>
              <w:overflowPunct w:val="0"/>
              <w:topLinePunct/>
              <w:jc w:val="center"/>
              <w:rPr>
                <w:rFonts w:eastAsia="仿宋_GB2312"/>
              </w:rPr>
            </w:pPr>
            <w:r>
              <w:rPr>
                <w:rFonts w:eastAsia="仿宋_GB2312"/>
              </w:rPr>
              <w:t>环境工程专业、土壤学专业、生态学专业</w:t>
            </w:r>
          </w:p>
        </w:tc>
        <w:tc>
          <w:tcPr>
            <w:tcW w:w="1275" w:type="dxa"/>
            <w:tcBorders>
              <w:top w:val="single" w:color="auto" w:sz="4" w:space="0"/>
              <w:left w:val="single" w:color="auto" w:sz="4" w:space="0"/>
              <w:bottom w:val="single" w:color="auto" w:sz="4" w:space="0"/>
              <w:right w:val="single" w:color="auto" w:sz="4" w:space="0"/>
            </w:tcBorders>
            <w:vAlign w:val="center"/>
          </w:tcPr>
          <w:p>
            <w:pPr>
              <w:overflowPunct w:val="0"/>
              <w:topLinePunct/>
              <w:jc w:val="center"/>
              <w:rPr>
                <w:rFonts w:eastAsia="仿宋_GB2312"/>
                <w:szCs w:val="24"/>
              </w:rPr>
            </w:pPr>
            <w:r>
              <w:rPr>
                <w:rFonts w:eastAsia="仿宋_GB2312"/>
              </w:rPr>
              <w:t>取得高级工程师及以上专业技术任职资格人员</w:t>
            </w:r>
          </w:p>
        </w:tc>
        <w:tc>
          <w:tcPr>
            <w:tcW w:w="1275" w:type="dxa"/>
            <w:tcBorders>
              <w:top w:val="single" w:color="auto" w:sz="4" w:space="0"/>
              <w:left w:val="single" w:color="auto" w:sz="4" w:space="0"/>
              <w:bottom w:val="single" w:color="auto" w:sz="4" w:space="0"/>
              <w:right w:val="single" w:color="auto" w:sz="4" w:space="0"/>
            </w:tcBorders>
            <w:vAlign w:val="center"/>
          </w:tcPr>
          <w:p>
            <w:pPr>
              <w:overflowPunct w:val="0"/>
              <w:topLinePunct/>
              <w:jc w:val="center"/>
              <w:rPr>
                <w:rFonts w:eastAsia="仿宋_GB2312"/>
              </w:rPr>
            </w:pPr>
            <w:r>
              <w:rPr>
                <w:rFonts w:eastAsia="仿宋_GB2312"/>
              </w:rPr>
              <w:t>工程系列</w:t>
            </w:r>
          </w:p>
          <w:p>
            <w:pPr>
              <w:overflowPunct w:val="0"/>
              <w:topLinePunct/>
              <w:jc w:val="center"/>
              <w:rPr>
                <w:rFonts w:eastAsia="仿宋_GB2312"/>
              </w:rPr>
            </w:pPr>
            <w:r>
              <w:rPr>
                <w:rFonts w:eastAsia="仿宋_GB2312"/>
              </w:rPr>
              <w:t>环境类专业</w:t>
            </w:r>
          </w:p>
        </w:tc>
        <w:tc>
          <w:tcPr>
            <w:tcW w:w="2293"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具有2年以上生态保护与修复、生态文明示范创建、生物多样性保护等方面的工作经历</w:t>
            </w:r>
            <w:r>
              <w:rPr>
                <w:rFonts w:hint="eastAsia" w:eastAsia="仿宋_GB2312"/>
              </w:rPr>
              <w:t>；最低服务年限5年。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34" w:type="dxa"/>
            <w:vMerge w:val="continue"/>
            <w:tcBorders>
              <w:top w:val="single" w:color="auto" w:sz="4" w:space="0"/>
              <w:left w:val="single" w:color="auto" w:sz="4" w:space="0"/>
              <w:right w:val="single" w:color="auto" w:sz="4" w:space="0"/>
            </w:tcBorders>
            <w:noWrap/>
            <w:vAlign w:val="center"/>
          </w:tcPr>
          <w:p>
            <w:pPr>
              <w:overflowPunct w:val="0"/>
              <w:topLinePunct/>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noWrap/>
            <w:vAlign w:val="center"/>
          </w:tcPr>
          <w:p>
            <w:pPr>
              <w:overflowPunct w:val="0"/>
              <w:topLinePunct/>
              <w:jc w:val="center"/>
              <w:rPr>
                <w:rFonts w:eastAsia="仿宋_GB2312"/>
              </w:rPr>
            </w:pPr>
            <w:r>
              <w:rPr>
                <w:rFonts w:eastAsia="仿宋_GB2312"/>
              </w:rPr>
              <w:t>固体废弃物污染防治岗位</w:t>
            </w:r>
          </w:p>
        </w:tc>
        <w:tc>
          <w:tcPr>
            <w:tcW w:w="1276" w:type="dxa"/>
            <w:tcBorders>
              <w:top w:val="single" w:color="auto" w:sz="4" w:space="0"/>
              <w:left w:val="single" w:color="auto" w:sz="4" w:space="0"/>
              <w:bottom w:val="single" w:color="auto" w:sz="4" w:space="0"/>
              <w:right w:val="single" w:color="auto" w:sz="4" w:space="0"/>
            </w:tcBorders>
            <w:noWrap/>
            <w:vAlign w:val="center"/>
          </w:tcPr>
          <w:p>
            <w:pPr>
              <w:overflowPunct w:val="0"/>
              <w:topLinePunct/>
              <w:jc w:val="center"/>
              <w:rPr>
                <w:rFonts w:eastAsia="仿宋_GB2312"/>
              </w:rPr>
            </w:pPr>
            <w:r>
              <w:rPr>
                <w:rFonts w:eastAsia="仿宋_GB2312"/>
              </w:rPr>
              <w:t>专业技术岗位</w:t>
            </w:r>
          </w:p>
        </w:tc>
        <w:tc>
          <w:tcPr>
            <w:tcW w:w="992" w:type="dxa"/>
            <w:tcBorders>
              <w:top w:val="single" w:color="auto" w:sz="4" w:space="0"/>
              <w:left w:val="single" w:color="auto" w:sz="4" w:space="0"/>
              <w:bottom w:val="single" w:color="auto" w:sz="4" w:space="0"/>
              <w:right w:val="single" w:color="auto" w:sz="4" w:space="0"/>
            </w:tcBorders>
            <w:noWrap/>
            <w:vAlign w:val="center"/>
          </w:tcPr>
          <w:p>
            <w:pPr>
              <w:overflowPunct w:val="0"/>
              <w:topLinePunct/>
              <w:jc w:val="center"/>
              <w:rPr>
                <w:rFonts w:eastAsia="仿宋_GB2312"/>
              </w:rPr>
            </w:pPr>
            <w:r>
              <w:rPr>
                <w:rFonts w:hint="eastAsia" w:eastAsia="仿宋_GB2312"/>
              </w:rPr>
              <w:t>20240005</w:t>
            </w:r>
          </w:p>
        </w:tc>
        <w:tc>
          <w:tcPr>
            <w:tcW w:w="992" w:type="dxa"/>
            <w:tcBorders>
              <w:top w:val="single" w:color="auto" w:sz="4" w:space="0"/>
              <w:left w:val="single" w:color="auto" w:sz="4" w:space="0"/>
              <w:bottom w:val="single" w:color="auto" w:sz="4" w:space="0"/>
              <w:right w:val="single" w:color="auto" w:sz="4" w:space="0"/>
            </w:tcBorders>
            <w:noWrap/>
            <w:vAlign w:val="center"/>
          </w:tcPr>
          <w:p>
            <w:pPr>
              <w:overflowPunct w:val="0"/>
              <w:topLinePunct/>
              <w:jc w:val="center"/>
              <w:rPr>
                <w:rFonts w:eastAsia="仿宋_GB2312"/>
              </w:rPr>
            </w:pPr>
            <w:r>
              <w:rPr>
                <w:rFonts w:eastAsia="仿宋_GB2312"/>
              </w:rPr>
              <w:t>1</w:t>
            </w:r>
          </w:p>
        </w:tc>
        <w:tc>
          <w:tcPr>
            <w:tcW w:w="1456" w:type="dxa"/>
            <w:tcBorders>
              <w:top w:val="single" w:color="auto" w:sz="4" w:space="0"/>
              <w:left w:val="single" w:color="auto" w:sz="4" w:space="0"/>
              <w:bottom w:val="single" w:color="auto" w:sz="4" w:space="0"/>
              <w:right w:val="single" w:color="auto" w:sz="4" w:space="0"/>
            </w:tcBorders>
            <w:noWrap/>
            <w:vAlign w:val="center"/>
          </w:tcPr>
          <w:p>
            <w:pPr>
              <w:overflowPunct w:val="0"/>
              <w:topLinePunct/>
              <w:jc w:val="center"/>
              <w:rPr>
                <w:rFonts w:eastAsia="仿宋_GB2312"/>
              </w:rPr>
            </w:pPr>
            <w:r>
              <w:rPr>
                <w:rFonts w:eastAsia="仿宋_GB2312"/>
              </w:rPr>
              <w:t>1979年1月1日及以后出生</w:t>
            </w:r>
          </w:p>
        </w:tc>
        <w:tc>
          <w:tcPr>
            <w:tcW w:w="1559" w:type="dxa"/>
            <w:tcBorders>
              <w:top w:val="single" w:color="auto" w:sz="4" w:space="0"/>
              <w:left w:val="single" w:color="auto" w:sz="4" w:space="0"/>
              <w:bottom w:val="single" w:color="auto" w:sz="4" w:space="0"/>
              <w:right w:val="single" w:color="auto" w:sz="4" w:space="0"/>
            </w:tcBorders>
            <w:vAlign w:val="center"/>
          </w:tcPr>
          <w:p>
            <w:pPr>
              <w:overflowPunct w:val="0"/>
              <w:topLinePunct/>
              <w:jc w:val="center"/>
              <w:rPr>
                <w:rFonts w:eastAsia="仿宋_GB2312"/>
              </w:rPr>
            </w:pPr>
            <w:r>
              <w:rPr>
                <w:rFonts w:eastAsia="仿宋_GB2312"/>
              </w:rPr>
              <w:t>研究生学历并取得硕士及以上学位</w:t>
            </w:r>
          </w:p>
        </w:tc>
        <w:tc>
          <w:tcPr>
            <w:tcW w:w="1276" w:type="dxa"/>
            <w:tcBorders>
              <w:top w:val="single" w:color="auto" w:sz="4" w:space="0"/>
              <w:left w:val="single" w:color="auto" w:sz="4" w:space="0"/>
              <w:bottom w:val="single" w:color="auto" w:sz="4" w:space="0"/>
              <w:right w:val="single" w:color="auto" w:sz="4" w:space="0"/>
            </w:tcBorders>
            <w:noWrap/>
            <w:vAlign w:val="center"/>
          </w:tcPr>
          <w:p>
            <w:pPr>
              <w:overflowPunct w:val="0"/>
              <w:topLinePunct/>
              <w:jc w:val="center"/>
              <w:rPr>
                <w:rFonts w:eastAsia="仿宋_GB2312"/>
              </w:rPr>
            </w:pPr>
            <w:r>
              <w:rPr>
                <w:rFonts w:eastAsia="仿宋_GB2312"/>
              </w:rPr>
              <w:t>环境工程专业</w:t>
            </w:r>
          </w:p>
        </w:tc>
        <w:tc>
          <w:tcPr>
            <w:tcW w:w="1275" w:type="dxa"/>
            <w:tcBorders>
              <w:top w:val="single" w:color="auto" w:sz="4" w:space="0"/>
              <w:left w:val="single" w:color="auto" w:sz="4" w:space="0"/>
              <w:bottom w:val="single" w:color="auto" w:sz="4" w:space="0"/>
              <w:right w:val="single" w:color="auto" w:sz="4" w:space="0"/>
            </w:tcBorders>
            <w:vAlign w:val="center"/>
          </w:tcPr>
          <w:p>
            <w:pPr>
              <w:overflowPunct w:val="0"/>
              <w:topLinePunct/>
              <w:jc w:val="center"/>
              <w:rPr>
                <w:rFonts w:eastAsia="仿宋_GB2312"/>
                <w:szCs w:val="24"/>
              </w:rPr>
            </w:pPr>
            <w:r>
              <w:rPr>
                <w:rFonts w:eastAsia="仿宋_GB2312"/>
              </w:rPr>
              <w:t>取得高级工程师及以上专业技术任职资格人员</w:t>
            </w:r>
          </w:p>
        </w:tc>
        <w:tc>
          <w:tcPr>
            <w:tcW w:w="1275" w:type="dxa"/>
            <w:tcBorders>
              <w:top w:val="single" w:color="auto" w:sz="4" w:space="0"/>
              <w:left w:val="single" w:color="auto" w:sz="4" w:space="0"/>
              <w:bottom w:val="single" w:color="auto" w:sz="4" w:space="0"/>
              <w:right w:val="single" w:color="auto" w:sz="4" w:space="0"/>
            </w:tcBorders>
            <w:vAlign w:val="center"/>
          </w:tcPr>
          <w:p>
            <w:pPr>
              <w:overflowPunct w:val="0"/>
              <w:topLinePunct/>
              <w:jc w:val="center"/>
              <w:rPr>
                <w:rFonts w:eastAsia="仿宋_GB2312"/>
              </w:rPr>
            </w:pPr>
            <w:r>
              <w:rPr>
                <w:rFonts w:eastAsia="仿宋_GB2312"/>
              </w:rPr>
              <w:t>工程系列</w:t>
            </w:r>
          </w:p>
          <w:p>
            <w:pPr>
              <w:overflowPunct w:val="0"/>
              <w:topLinePunct/>
              <w:jc w:val="center"/>
              <w:rPr>
                <w:rFonts w:eastAsia="仿宋_GB2312"/>
              </w:rPr>
            </w:pPr>
            <w:r>
              <w:rPr>
                <w:rFonts w:eastAsia="仿宋_GB2312"/>
              </w:rPr>
              <w:t>环境类专业</w:t>
            </w:r>
          </w:p>
        </w:tc>
        <w:tc>
          <w:tcPr>
            <w:tcW w:w="2293"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具有2年以上危险废物鉴别鉴定、固废及重金属污染防治与综合利用等方面工作经历</w:t>
            </w:r>
            <w:r>
              <w:rPr>
                <w:rFonts w:hint="eastAsia" w:eastAsia="仿宋_GB2312"/>
              </w:rPr>
              <w:t>；最低服务年限5年。</w:t>
            </w:r>
          </w:p>
        </w:tc>
      </w:tr>
    </w:tbl>
    <w:p>
      <w:pPr>
        <w:overflowPunct w:val="0"/>
        <w:topLinePunct/>
        <w:jc w:val="center"/>
        <w:rPr>
          <w:rFonts w:eastAsia="仿宋"/>
          <w:sz w:val="30"/>
          <w:szCs w:val="30"/>
        </w:rPr>
      </w:pPr>
      <w:r>
        <w:rPr>
          <w:rFonts w:eastAsia="仿宋"/>
          <w:sz w:val="30"/>
          <w:szCs w:val="30"/>
        </w:rPr>
        <w:t xml:space="preserve"> </w:t>
      </w:r>
    </w:p>
    <w:p>
      <w:pPr>
        <w:widowControl/>
        <w:overflowPunct w:val="0"/>
        <w:topLinePunct/>
        <w:jc w:val="left"/>
        <w:rPr>
          <w:rFonts w:eastAsia="黑体"/>
          <w:sz w:val="32"/>
          <w:szCs w:val="32"/>
        </w:rPr>
        <w:sectPr>
          <w:headerReference r:id="rId5" w:type="default"/>
          <w:footerReference r:id="rId7" w:type="default"/>
          <w:headerReference r:id="rId6" w:type="even"/>
          <w:footerReference r:id="rId8" w:type="even"/>
          <w:pgSz w:w="16838" w:h="11906" w:orient="landscape"/>
          <w:pgMar w:top="1588" w:right="2098" w:bottom="1474" w:left="1985" w:header="851" w:footer="992" w:gutter="0"/>
          <w:cols w:space="720" w:num="1"/>
          <w:docGrid w:type="lines" w:linePitch="312" w:charSpace="0"/>
        </w:sectPr>
      </w:pPr>
    </w:p>
    <w:p>
      <w:pPr>
        <w:spacing w:line="580" w:lineRule="exact"/>
      </w:pPr>
      <w:r>
        <w:rPr>
          <w:rFonts w:eastAsia="仿宋_GB2312"/>
          <w:sz w:val="32"/>
          <w:szCs w:val="32"/>
        </w:rPr>
        <w:t xml:space="preserve"> </w:t>
      </w:r>
    </w:p>
    <w:sectPr>
      <w:footerReference r:id="rId9" w:type="default"/>
      <w:footerReference r:id="rId10"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ight="210" w:rightChars="100"/>
      <w:jc w:val="right"/>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ight="210" w:rightChars="100"/>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posOffset>-921385</wp:posOffset>
              </wp:positionH>
              <wp:positionV relativeFrom="paragraph">
                <wp:posOffset>-1146175</wp:posOffset>
              </wp:positionV>
              <wp:extent cx="670560" cy="85598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70560" cy="855980"/>
                      </a:xfrm>
                      <a:prstGeom prst="rect">
                        <a:avLst/>
                      </a:prstGeom>
                      <a:noFill/>
                      <a:ln>
                        <a:noFill/>
                      </a:ln>
                      <a:effectLst/>
                    </wps:spPr>
                    <wps:txbx>
                      <w:txbxContent>
                        <w:p>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vert" wrap="none" lIns="215999" tIns="143999" rIns="215999" bIns="0" anchor="t" anchorCtr="0" upright="1">
                      <a:spAutoFit/>
                    </wps:bodyPr>
                  </wps:wsp>
                </a:graphicData>
              </a:graphic>
            </wp:anchor>
          </w:drawing>
        </mc:Choice>
        <mc:Fallback>
          <w:pict>
            <v:shape id="_x0000_s1026" o:spid="_x0000_s1026" o:spt="202" type="#_x0000_t202" style="position:absolute;left:0pt;margin-left:-72.55pt;margin-top:-90.25pt;height:67.4pt;width:52.8pt;mso-position-horizontal-relative:margin;mso-wrap-style:none;z-index:251659264;mso-width-relative:page;mso-height-relative:page;" filled="f" stroked="f" coordsize="21600,21600" o:gfxdata="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PHc8EjdAAAADQEAAA8AAAAAAAAAAQAgAAAAOAAAAGRycy9kb3ducmV2Lnht&#10;bFBLAQIUABQAAAAIAIdO4kCCSpT6FwIAAB8EAAAOAAAAAAAAAAEAIAAAAEIBAABkcnMvZTJvRG9j&#10;LnhtbFBLBQYAAAAABgAGAFkBAADLBQAAAAA=&#10;">
              <v:fill on="f" focussize="0,0"/>
              <v:stroke on="f"/>
              <v:imagedata o:title=""/>
              <o:lock v:ext="edit" aspectratio="f"/>
              <v:textbox inset="17.0077952755906pt,11.3385039370079pt,17.0077952755906pt,0mm" style="layout-flow:vertical;mso-fit-shape-to-text:t;">
                <w:txbxContent>
                  <w:p>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sdt>
      <w:sdtPr>
        <w:id w:val="-1"/>
        <w:docPartObj>
          <w:docPartGallery w:val="autotext"/>
        </w:docPartObj>
      </w:sdtPr>
      <w:sdtEndPr>
        <w:rPr>
          <w:rFonts w:ascii="宋体" w:hAnsi="宋体"/>
          <w:sz w:val="28"/>
          <w:szCs w:val="28"/>
        </w:rPr>
      </w:sdtEndPr>
      <w:sdtContent>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17</w:t>
        </w:r>
        <w:r>
          <w:rPr>
            <w:rFonts w:ascii="宋体" w:hAnsi="宋体"/>
            <w:sz w:val="28"/>
            <w:szCs w:val="28"/>
          </w:rPr>
          <w:fldChar w:fldCharType="end"/>
        </w:r>
      </w:sdtContent>
    </w:sdt>
    <w:r>
      <w:rPr>
        <w:rFonts w:hint="eastAsia" w:ascii="宋体" w:hAnsi="宋体"/>
        <w:sz w:val="28"/>
        <w:szCs w:val="28"/>
      </w:rPr>
      <w:t>—</w:t>
    </w:r>
  </w:p>
  <w:p>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sdt>
      <w:sdtPr>
        <w:id w:val="419988893"/>
        <w:docPartObj>
          <w:docPartGallery w:val="autotext"/>
        </w:docPartObj>
      </w:sdtPr>
      <w:sdtEndPr>
        <w:rPr>
          <w:rFonts w:ascii="宋体" w:hAnsi="宋体"/>
          <w:sz w:val="28"/>
          <w:szCs w:val="28"/>
        </w:rPr>
      </w:sdtEndPr>
      <w:sdtContent>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16</w:t>
        </w:r>
        <w:r>
          <w:rPr>
            <w:rFonts w:ascii="宋体" w:hAnsi="宋体"/>
            <w:sz w:val="28"/>
            <w:szCs w:val="28"/>
          </w:rPr>
          <w:fldChar w:fldCharType="end"/>
        </w:r>
      </w:sdtContent>
    </w:sdt>
    <w:r>
      <w:rPr>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posOffset>-933450</wp:posOffset>
              </wp:positionH>
              <wp:positionV relativeFrom="paragraph">
                <wp:posOffset>433705</wp:posOffset>
              </wp:positionV>
              <wp:extent cx="670560" cy="85598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70560" cy="855980"/>
                      </a:xfrm>
                      <a:prstGeom prst="rect">
                        <a:avLst/>
                      </a:prstGeom>
                      <a:noFill/>
                      <a:ln>
                        <a:noFill/>
                      </a:ln>
                      <a:effectLst/>
                    </wps:spPr>
                    <wps:txbx>
                      <w:txbxContent>
                        <w:p>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vert" wrap="none" lIns="215999" tIns="143999" rIns="215999" bIns="0" anchor="t" anchorCtr="0" upright="1">
                      <a:spAutoFit/>
                    </wps:bodyPr>
                  </wps:wsp>
                </a:graphicData>
              </a:graphic>
            </wp:anchor>
          </w:drawing>
        </mc:Choice>
        <mc:Fallback>
          <w:pict>
            <v:shape id="_x0000_s1026" o:spid="_x0000_s1026" o:spt="202" type="#_x0000_t202" style="position:absolute;left:0pt;margin-left:-73.5pt;margin-top:34.15pt;height:67.4pt;width:52.8pt;mso-position-horizontal-relative:margin;mso-wrap-style:none;z-index:251660288;mso-width-relative:page;mso-height-relative:page;" filled="f" stroked="f" coordsize="21600,21600" o:gfxdata="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YtrekN0AAAALAQAADwAAAAAAAAABACAAAAA4AAAAZHJzL2Rvd25yZXYu&#10;eG1sUEsBAhQAFAAAAAgAh07iQJ6xK90ZAgAAHwQAAA4AAAAAAAAAAQAgAAAAQgEAAGRycy9lMm9E&#10;b2MueG1sUEsFBgAAAAAGAAYAWQEAAM0FAAAAAA==&#10;">
              <v:fill on="f" focussize="0,0"/>
              <v:stroke on="f"/>
              <v:imagedata o:title=""/>
              <o:lock v:ext="edit" aspectratio="f"/>
              <v:textbox inset="17.0077952755906pt,11.3385039370079pt,17.0077952755906pt,0mm" style="layout-flow:vertical;mso-fit-shape-to-text:t;">
                <w:txbxContent>
                  <w:p>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C7B"/>
    <w:rsid w:val="0003467F"/>
    <w:rsid w:val="0003594F"/>
    <w:rsid w:val="0024169A"/>
    <w:rsid w:val="00343E6C"/>
    <w:rsid w:val="003A26AA"/>
    <w:rsid w:val="003A6FC5"/>
    <w:rsid w:val="004C5625"/>
    <w:rsid w:val="004C7109"/>
    <w:rsid w:val="0054794C"/>
    <w:rsid w:val="0056409F"/>
    <w:rsid w:val="005F44C5"/>
    <w:rsid w:val="006518F4"/>
    <w:rsid w:val="00691F82"/>
    <w:rsid w:val="00703F91"/>
    <w:rsid w:val="007E6918"/>
    <w:rsid w:val="00910A93"/>
    <w:rsid w:val="009115F1"/>
    <w:rsid w:val="00B17883"/>
    <w:rsid w:val="00B17C7B"/>
    <w:rsid w:val="00B23303"/>
    <w:rsid w:val="00B61CD5"/>
    <w:rsid w:val="00B65348"/>
    <w:rsid w:val="00C00722"/>
    <w:rsid w:val="00CB12E2"/>
    <w:rsid w:val="00D925A6"/>
    <w:rsid w:val="00DB6A92"/>
    <w:rsid w:val="00E82A1F"/>
    <w:rsid w:val="00E91605"/>
    <w:rsid w:val="00F00D66"/>
    <w:rsid w:val="00F6747C"/>
    <w:rsid w:val="00FE1C71"/>
    <w:rsid w:val="3DBE547B"/>
    <w:rsid w:val="B7C7E9CD"/>
    <w:rsid w:val="DFFF3980"/>
    <w:rsid w:val="F7EF2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style51"/>
    <w:qFormat/>
    <w:uiPriority w:val="0"/>
    <w:rPr>
      <w:rFonts w:ascii="Times New Roman" w:hAnsi="Times New Roman" w:eastAsia="宋体" w:cs="Times New Roman"/>
      <w:color w:val="000000"/>
      <w:sz w:val="18"/>
      <w:szCs w:val="18"/>
      <w:u w:val="none"/>
      <w:lang w:bidi="ar-SA"/>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1097</Words>
  <Characters>6259</Characters>
  <Lines>52</Lines>
  <Paragraphs>14</Paragraphs>
  <TotalTime>169</TotalTime>
  <ScaleCrop>false</ScaleCrop>
  <LinksUpToDate>false</LinksUpToDate>
  <CharactersWithSpaces>7342</CharactersWithSpaces>
  <Application>WPS Office_11.8.2.12229_F1E327BC-269C-435d-A152-05C5408002CA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2024-11-14T03:28:00Z</dcterms:created>
  <dc:creator>apple-3</dc:creator>
  <cp:lastModifiedBy>user</cp:lastModifiedBy>
  <cp:lastPrinted>2024-11-14T00:58:00Z</cp:lastPrinted>
  <dcterms:modified xsi:type="dcterms:W3CDTF">2024-11-14T14:19:52Z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2052-11.8.2.12229</vt:lpwstr>
  </property>
  <property fmtid="{D5CDD505-2E9C-101B-9397-08002B2CF9AE}" pid="3" name="ICV">
    <vt:lpwstr>C655DE029FFDC23786693567B3DD9841</vt:lpwstr>
  </property>
</Properties>
</file>