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5B128C">
      <w:pPr>
        <w:spacing w:line="360" w:lineRule="auto"/>
        <w:jc w:val="left"/>
        <w:rPr>
          <w:rFonts w:hint="eastAsia" w:ascii="宋体" w:hAnsi="宋体" w:eastAsia="宋体" w:cs="宋体"/>
          <w:b/>
          <w:bCs/>
          <w:color w:val="auto"/>
          <w:kern w:val="0"/>
          <w:sz w:val="28"/>
          <w:szCs w:val="28"/>
          <w:shd w:val="clear" w:color="auto" w:fill="FFFFFF"/>
          <w:lang w:val="en-US" w:eastAsia="zh-CN" w:bidi="ar-SA"/>
        </w:rPr>
      </w:pPr>
      <w:r>
        <w:rPr>
          <w:rFonts w:hint="eastAsia" w:ascii="宋体" w:hAnsi="宋体" w:eastAsia="宋体" w:cs="宋体"/>
          <w:b/>
          <w:bCs/>
          <w:color w:val="auto"/>
          <w:sz w:val="28"/>
          <w:szCs w:val="28"/>
          <w:shd w:val="clear" w:color="auto" w:fill="FFFFFF"/>
        </w:rPr>
        <w:t>附件</w:t>
      </w:r>
      <w:r>
        <w:rPr>
          <w:rFonts w:hint="eastAsia" w:ascii="宋体" w:hAnsi="宋体" w:eastAsia="宋体" w:cs="宋体"/>
          <w:b/>
          <w:bCs/>
          <w:color w:val="auto"/>
          <w:sz w:val="28"/>
          <w:szCs w:val="28"/>
          <w:shd w:val="clear" w:color="auto" w:fill="FFFFFF"/>
          <w:lang w:val="en-US" w:eastAsia="zh-CN"/>
        </w:rPr>
        <w:t>6药品</w:t>
      </w:r>
      <w:r>
        <w:rPr>
          <w:rFonts w:hint="eastAsia" w:ascii="宋体" w:hAnsi="宋体" w:eastAsia="宋体" w:cs="宋体"/>
          <w:b/>
          <w:bCs/>
          <w:color w:val="auto"/>
          <w:kern w:val="0"/>
          <w:sz w:val="28"/>
          <w:szCs w:val="28"/>
          <w:shd w:val="clear" w:color="auto" w:fill="FFFFFF"/>
          <w:lang w:val="en-US" w:eastAsia="zh-CN" w:bidi="ar-SA"/>
        </w:rPr>
        <w:t>廉洁准入承诺书</w:t>
      </w:r>
    </w:p>
    <w:p w14:paraId="77597E84">
      <w:pPr>
        <w:spacing w:line="360" w:lineRule="auto"/>
        <w:jc w:val="left"/>
        <w:rPr>
          <w:rFonts w:hint="eastAsia" w:ascii="宋体" w:hAnsi="宋体" w:eastAsia="宋体" w:cs="宋体"/>
          <w:b/>
          <w:bCs/>
          <w:color w:val="2B2B2B"/>
          <w:sz w:val="32"/>
          <w:szCs w:val="32"/>
          <w:shd w:val="clear" w:color="auto" w:fill="FFFFFF"/>
          <w:lang w:val="en-US" w:eastAsia="zh-CN"/>
        </w:rPr>
      </w:pPr>
    </w:p>
    <w:p w14:paraId="4375BF51">
      <w:pPr>
        <w:rPr>
          <w:rFonts w:hint="eastAsia" w:ascii="宋体" w:hAnsi="宋体" w:eastAsia="宋体" w:cs="Times New Roman"/>
          <w:b/>
          <w:color w:val="auto"/>
          <w:sz w:val="24"/>
          <w:szCs w:val="24"/>
          <w:lang w:val="en-US" w:eastAsia="zh-CN"/>
        </w:rPr>
      </w:pPr>
    </w:p>
    <w:p w14:paraId="6CCF039C">
      <w:pPr>
        <w:spacing w:line="360" w:lineRule="auto"/>
        <w:ind w:firstLine="904" w:firstLineChars="250"/>
        <w:jc w:val="center"/>
        <w:rPr>
          <w:rFonts w:hint="eastAsia" w:ascii="宋体" w:hAnsi="宋体" w:eastAsia="宋体" w:cs="宋体"/>
          <w:b/>
          <w:bCs/>
          <w:color w:val="auto"/>
          <w:kern w:val="0"/>
          <w:sz w:val="36"/>
          <w:szCs w:val="36"/>
          <w:shd w:val="clear" w:color="auto" w:fill="FFFFFF"/>
          <w:lang w:val="en-US" w:eastAsia="zh-CN" w:bidi="ar-SA"/>
        </w:rPr>
      </w:pPr>
      <w:r>
        <w:rPr>
          <w:rFonts w:hint="eastAsia" w:ascii="宋体" w:hAnsi="宋体" w:eastAsia="宋体" w:cs="宋体"/>
          <w:b/>
          <w:bCs/>
          <w:color w:val="auto"/>
          <w:kern w:val="0"/>
          <w:sz w:val="36"/>
          <w:szCs w:val="36"/>
          <w:shd w:val="clear" w:color="auto" w:fill="FFFFFF"/>
          <w:lang w:val="en-US" w:eastAsia="zh-CN" w:bidi="ar-SA"/>
        </w:rPr>
        <w:t>药品廉洁准入承诺书</w:t>
      </w:r>
    </w:p>
    <w:p w14:paraId="544CF4D7">
      <w:pPr>
        <w:spacing w:line="400" w:lineRule="exact"/>
        <w:jc w:val="center"/>
        <w:outlineLvl w:val="1"/>
        <w:rPr>
          <w:rFonts w:hint="eastAsia" w:ascii="宋体" w:hAnsi="宋体" w:eastAsia="宋体" w:cs="宋体"/>
          <w:b/>
          <w:sz w:val="32"/>
          <w:szCs w:val="32"/>
          <w:lang w:val="en-US" w:eastAsia="zh-CN"/>
        </w:rPr>
      </w:pPr>
    </w:p>
    <w:p w14:paraId="52B639E5">
      <w:pPr>
        <w:spacing w:line="360" w:lineRule="auto"/>
        <w:rPr>
          <w:rFonts w:hint="eastAsia" w:asciiTheme="majorEastAsia" w:hAnsiTheme="majorEastAsia" w:eastAsiaTheme="majorEastAsia" w:cstheme="majorEastAsia"/>
          <w:color w:val="auto"/>
          <w:sz w:val="28"/>
          <w:szCs w:val="28"/>
        </w:rPr>
      </w:pPr>
      <w:r>
        <w:rPr>
          <w:rFonts w:hint="eastAsia" w:asciiTheme="majorEastAsia" w:hAnsiTheme="majorEastAsia" w:eastAsiaTheme="majorEastAsia" w:cstheme="majorEastAsia"/>
          <w:b/>
          <w:color w:val="auto"/>
          <w:sz w:val="28"/>
          <w:szCs w:val="28"/>
          <w:lang w:val="en-US" w:eastAsia="zh-CN"/>
        </w:rPr>
        <w:t>邛崃市妇幼保健院</w:t>
      </w:r>
      <w:r>
        <w:rPr>
          <w:rFonts w:hint="eastAsia" w:ascii="仿宋_GB2312" w:hAnsi="仿宋_GB2312" w:eastAsia="仿宋_GB2312" w:cs="仿宋_GB2312"/>
          <w:b/>
          <w:sz w:val="28"/>
          <w:szCs w:val="28"/>
          <w:lang w:val="en-US" w:eastAsia="zh-CN"/>
        </w:rPr>
        <w:t>（邛崃市妇幼保健计划生育服务中心、邛崃市妇女儿童医院）</w:t>
      </w:r>
      <w:r>
        <w:rPr>
          <w:rFonts w:hint="eastAsia" w:ascii="仿宋_GB2312" w:hAnsi="仿宋_GB2312" w:eastAsia="仿宋_GB2312" w:cs="仿宋_GB2312"/>
          <w:b/>
          <w:sz w:val="28"/>
          <w:szCs w:val="28"/>
        </w:rPr>
        <w:t>：</w:t>
      </w:r>
    </w:p>
    <w:p w14:paraId="0898129F">
      <w:pPr>
        <w:spacing w:line="360" w:lineRule="auto"/>
        <w:ind w:firstLine="435"/>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为了维护卫生行业的整体形象，保证药品采购工作以及药品使用等工作的合法开展，维护贵院医疗、管理工作的正常秩序，保障广大患者的健康和利益，企业特郑重承诺如下：</w:t>
      </w:r>
    </w:p>
    <w:p w14:paraId="011EE2D1">
      <w:pPr>
        <w:tabs>
          <w:tab w:val="left" w:pos="-105"/>
        </w:tabs>
        <w:spacing w:line="360" w:lineRule="auto"/>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一、严格按照《药品管理法》、《反不正当竞争法》等有关法律、法规、规章、政策的规定，规范企业的药品申报工作以及药品准入贵院后的使用等工作，保证做到合法申报、正当竞争、廉洁经营。</w:t>
      </w:r>
    </w:p>
    <w:p w14:paraId="4BBB496A">
      <w:pPr>
        <w:tabs>
          <w:tab w:val="left" w:pos="-105"/>
        </w:tabs>
        <w:spacing w:line="360" w:lineRule="auto"/>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二、企业保证在申报工作中做到：</w:t>
      </w:r>
    </w:p>
    <w:p w14:paraId="51D64AC1">
      <w:pPr>
        <w:numPr>
          <w:ilvl w:val="0"/>
          <w:numId w:val="1"/>
        </w:numPr>
        <w:tabs>
          <w:tab w:val="left" w:pos="0"/>
        </w:tabs>
        <w:spacing w:line="360" w:lineRule="auto"/>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不与其他申报人相互串通申报，损害贵院的合法权益。</w:t>
      </w:r>
    </w:p>
    <w:p w14:paraId="3D49260C">
      <w:pPr>
        <w:numPr>
          <w:ilvl w:val="0"/>
          <w:numId w:val="1"/>
        </w:numPr>
        <w:tabs>
          <w:tab w:val="left" w:pos="0"/>
        </w:tabs>
        <w:spacing w:line="360" w:lineRule="auto"/>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不与医院工作人员串通申报，损害国家利益、社会公共利益或他人的合法权益。</w:t>
      </w:r>
    </w:p>
    <w:p w14:paraId="3A668FBC">
      <w:pPr>
        <w:numPr>
          <w:ilvl w:val="0"/>
          <w:numId w:val="1"/>
        </w:numPr>
        <w:tabs>
          <w:tab w:val="left" w:pos="0"/>
        </w:tabs>
        <w:spacing w:line="360" w:lineRule="auto"/>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不以向医院工作人员或者专家行贿的手段谋取中选。</w:t>
      </w:r>
    </w:p>
    <w:p w14:paraId="23ADAFA9">
      <w:pPr>
        <w:numPr>
          <w:ilvl w:val="0"/>
          <w:numId w:val="1"/>
        </w:numPr>
        <w:tabs>
          <w:tab w:val="left" w:pos="0"/>
        </w:tabs>
        <w:spacing w:line="360" w:lineRule="auto"/>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申报报价不违反相关法律的规定，不以他人名义申报或者以其他方式弄虚作假，骗取中选。</w:t>
      </w:r>
    </w:p>
    <w:p w14:paraId="2A5CCA62">
      <w:pPr>
        <w:numPr>
          <w:ilvl w:val="0"/>
          <w:numId w:val="1"/>
        </w:numPr>
        <w:tabs>
          <w:tab w:val="left" w:pos="0"/>
        </w:tabs>
        <w:spacing w:line="360" w:lineRule="auto"/>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保证不以其他任何方式扰乱贵院的药品遴选工作。</w:t>
      </w:r>
    </w:p>
    <w:p w14:paraId="768645DD">
      <w:pPr>
        <w:spacing w:line="360" w:lineRule="auto"/>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三、企业保证在药品促销工作中做到：</w:t>
      </w:r>
    </w:p>
    <w:p w14:paraId="396226ED">
      <w:pPr>
        <w:numPr>
          <w:ilvl w:val="0"/>
          <w:numId w:val="2"/>
        </w:numPr>
        <w:tabs>
          <w:tab w:val="left" w:pos="0"/>
        </w:tabs>
        <w:spacing w:line="360" w:lineRule="auto"/>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保证不在药品销售中采取帐外暗中给予回扣的手段贿赂医务人员。</w:t>
      </w:r>
    </w:p>
    <w:p w14:paraId="43A8A7B9">
      <w:pPr>
        <w:numPr>
          <w:ilvl w:val="0"/>
          <w:numId w:val="2"/>
        </w:numPr>
        <w:tabs>
          <w:tab w:val="left" w:pos="0"/>
        </w:tabs>
        <w:spacing w:line="360" w:lineRule="auto"/>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保证不以开单费、处方费、免费旅游、房屋装修等名义给予贵院医务人员以财物或其他利益。</w:t>
      </w:r>
    </w:p>
    <w:p w14:paraId="0B12E099">
      <w:pPr>
        <w:numPr>
          <w:ilvl w:val="0"/>
          <w:numId w:val="2"/>
        </w:numPr>
        <w:tabs>
          <w:tab w:val="left" w:pos="0"/>
        </w:tabs>
        <w:spacing w:line="360" w:lineRule="auto"/>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保证不让贵院临床科室和药学部门有关人员统计医生处方或为此提供方便。</w:t>
      </w:r>
    </w:p>
    <w:p w14:paraId="6CEEB12B">
      <w:pPr>
        <w:numPr>
          <w:ilvl w:val="0"/>
          <w:numId w:val="2"/>
        </w:numPr>
        <w:tabs>
          <w:tab w:val="left" w:pos="0"/>
        </w:tabs>
        <w:spacing w:line="360" w:lineRule="auto"/>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保证不以其他任何不正当竞争手段推销药品。</w:t>
      </w:r>
    </w:p>
    <w:p w14:paraId="20B10D32">
      <w:pPr>
        <w:numPr>
          <w:ilvl w:val="0"/>
          <w:numId w:val="2"/>
        </w:numPr>
        <w:tabs>
          <w:tab w:val="left" w:pos="0"/>
        </w:tabs>
        <w:spacing w:line="360" w:lineRule="auto"/>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保证遵守贵院的相关规定，严格规范医药代表和有关人员的促销行为并承诺如有以下行为发生以违规论处，企业保证接受贵院有权取消其代理品种准入资格的处理，由此产生的一切后果由企业承担。</w:t>
      </w:r>
    </w:p>
    <w:p w14:paraId="7ED4BB16">
      <w:pPr>
        <w:tabs>
          <w:tab w:val="left" w:pos="0"/>
        </w:tabs>
        <w:spacing w:line="360" w:lineRule="auto"/>
        <w:ind w:firstLine="120" w:firstLineChars="50"/>
        <w:rPr>
          <w:rFonts w:hint="eastAsia" w:asciiTheme="majorEastAsia" w:hAnsiTheme="majorEastAsia" w:eastAsiaTheme="majorEastAsia" w:cstheme="majorEastAsia"/>
          <w:color w:val="auto"/>
          <w:sz w:val="24"/>
          <w:szCs w:val="24"/>
          <w:lang w:eastAsia="zh-CN"/>
        </w:rPr>
      </w:pPr>
      <w:r>
        <w:rPr>
          <w:rFonts w:hint="eastAsia" w:asciiTheme="majorEastAsia" w:hAnsiTheme="majorEastAsia" w:eastAsiaTheme="majorEastAsia" w:cstheme="majorEastAsia"/>
          <w:color w:val="auto"/>
          <w:sz w:val="24"/>
          <w:szCs w:val="24"/>
        </w:rPr>
        <w:t>（1）医药代表擅自进入贵院门诊诊断室给医生抄处方并借机统方或推销药品、转发药品宣传资料等</w:t>
      </w:r>
      <w:r>
        <w:rPr>
          <w:rFonts w:hint="eastAsia" w:asciiTheme="majorEastAsia" w:hAnsiTheme="majorEastAsia" w:eastAsiaTheme="majorEastAsia" w:cstheme="majorEastAsia"/>
          <w:color w:val="auto"/>
          <w:sz w:val="24"/>
          <w:szCs w:val="24"/>
          <w:lang w:eastAsia="zh-CN"/>
        </w:rPr>
        <w:t>。</w:t>
      </w:r>
    </w:p>
    <w:p w14:paraId="5DF24502">
      <w:pPr>
        <w:tabs>
          <w:tab w:val="left" w:pos="0"/>
        </w:tabs>
        <w:spacing w:line="360" w:lineRule="auto"/>
        <w:ind w:firstLine="120" w:firstLineChars="50"/>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（2）医药代表伪装患者或家属擅自进入诊断室、病房向医务人员、患者推销药品、发药品资料。</w:t>
      </w:r>
    </w:p>
    <w:p w14:paraId="650B3B2B">
      <w:pPr>
        <w:tabs>
          <w:tab w:val="left" w:pos="0"/>
        </w:tabs>
        <w:spacing w:line="360" w:lineRule="auto"/>
        <w:ind w:firstLine="120" w:firstLineChars="50"/>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（3）医药代表擅自进入贵院药学部门工作区。</w:t>
      </w:r>
    </w:p>
    <w:p w14:paraId="68AAA458">
      <w:pPr>
        <w:tabs>
          <w:tab w:val="left" w:pos="0"/>
        </w:tabs>
        <w:spacing w:line="360" w:lineRule="auto"/>
        <w:ind w:firstLine="120" w:firstLineChars="50"/>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（4）医药代表在上班时间擅自到院区找医生。</w:t>
      </w:r>
    </w:p>
    <w:p w14:paraId="7CDC7022">
      <w:pPr>
        <w:tabs>
          <w:tab w:val="left" w:pos="0"/>
        </w:tabs>
        <w:spacing w:line="360" w:lineRule="auto"/>
        <w:ind w:firstLine="120" w:firstLineChars="50"/>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（5）私自将会议赞助费交给医生或委托医生和其他人员转交会议赞助费、转发药品宣传资料等。</w:t>
      </w:r>
    </w:p>
    <w:p w14:paraId="39948A48">
      <w:pPr>
        <w:tabs>
          <w:tab w:val="left" w:pos="0"/>
        </w:tabs>
        <w:spacing w:line="360" w:lineRule="auto"/>
        <w:ind w:firstLine="120" w:firstLineChars="50"/>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（6）私自资助贵院科室、医生及相关人员以因私护照出国（境）参加学术或其他活动。</w:t>
      </w:r>
    </w:p>
    <w:p w14:paraId="299F221B">
      <w:pPr>
        <w:tabs>
          <w:tab w:val="left" w:pos="-105"/>
        </w:tabs>
        <w:spacing w:line="360" w:lineRule="auto"/>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四、企业保证竭力维护贵院的声誉，不做任何的损害贵院形象的事情。</w:t>
      </w:r>
    </w:p>
    <w:p w14:paraId="2EDA3029">
      <w:pPr>
        <w:tabs>
          <w:tab w:val="left" w:pos="-105"/>
        </w:tabs>
        <w:spacing w:line="360" w:lineRule="auto"/>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五、企业保证加强对申报、促销等工作的领导、监督和检查；加强对企业员工进行法律、法规、规章、政策的教育，切实要求企业全体员工遵守本承诺各条款的内容。</w:t>
      </w:r>
    </w:p>
    <w:p w14:paraId="5EB70430">
      <w:pPr>
        <w:pStyle w:val="13"/>
        <w:numPr>
          <w:ilvl w:val="0"/>
          <w:numId w:val="0"/>
        </w:numPr>
        <w:tabs>
          <w:tab w:val="left" w:pos="-105"/>
        </w:tabs>
        <w:spacing w:line="360" w:lineRule="auto"/>
        <w:ind w:leftChars="0"/>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lang w:val="en-US" w:eastAsia="zh-CN"/>
        </w:rPr>
        <w:t>六、</w:t>
      </w:r>
      <w:r>
        <w:rPr>
          <w:rFonts w:hint="eastAsia" w:asciiTheme="majorEastAsia" w:hAnsiTheme="majorEastAsia" w:eastAsiaTheme="majorEastAsia" w:cstheme="majorEastAsia"/>
          <w:color w:val="auto"/>
          <w:sz w:val="24"/>
          <w:szCs w:val="24"/>
        </w:rPr>
        <w:t>对企业及企业员工如发生有以上所列不正当、不规范行为，企业保证接受：</w:t>
      </w:r>
    </w:p>
    <w:p w14:paraId="42B9BC48">
      <w:pPr>
        <w:tabs>
          <w:tab w:val="left" w:pos="567"/>
        </w:tabs>
        <w:spacing w:line="360" w:lineRule="auto"/>
        <w:ind w:firstLine="360" w:firstLineChars="150"/>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1.发现并查实一次，贵院有权停止企业在院药品的购用。</w:t>
      </w:r>
    </w:p>
    <w:p w14:paraId="32C833E8">
      <w:pPr>
        <w:tabs>
          <w:tab w:val="left" w:pos="567"/>
        </w:tabs>
        <w:spacing w:line="360" w:lineRule="auto"/>
        <w:ind w:firstLine="360" w:firstLineChars="150"/>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2.如同时触犯相关规定的，贵院有权按相关规定处置。</w:t>
      </w:r>
    </w:p>
    <w:p w14:paraId="59E1BC3C">
      <w:pPr>
        <w:tabs>
          <w:tab w:val="left" w:pos="567"/>
        </w:tabs>
        <w:spacing w:line="360" w:lineRule="auto"/>
        <w:ind w:firstLine="360" w:firstLineChars="150"/>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3.本企业或企业员工上述行为给贵院造成经济或名誉损失的，企业愿意承担全部民事赔偿责任。</w:t>
      </w:r>
    </w:p>
    <w:p w14:paraId="7DFDCCF1">
      <w:pPr>
        <w:tabs>
          <w:tab w:val="left" w:pos="709"/>
        </w:tabs>
        <w:spacing w:line="360" w:lineRule="auto"/>
        <w:ind w:left="-34" w:leftChars="-16" w:firstLine="360" w:firstLineChars="150"/>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4.本企业地区经理或销售代表变更须及时向贵院申请办理变更备案手续，未及时按规定办理者，由此产生的问题概由企业承担全部的责任并服从贵院的处置。</w:t>
      </w:r>
    </w:p>
    <w:p w14:paraId="5DF8DF86">
      <w:pPr>
        <w:spacing w:line="360" w:lineRule="auto"/>
        <w:jc w:val="right"/>
        <w:rPr>
          <w:rFonts w:hint="eastAsia" w:asciiTheme="majorEastAsia" w:hAnsiTheme="majorEastAsia" w:eastAsiaTheme="majorEastAsia" w:cstheme="majorEastAsia"/>
          <w:color w:val="auto"/>
          <w:sz w:val="24"/>
          <w:szCs w:val="24"/>
        </w:rPr>
      </w:pPr>
    </w:p>
    <w:p w14:paraId="18B7C2CE">
      <w:pPr>
        <w:adjustRightInd w:val="0"/>
        <w:snapToGrid w:val="0"/>
        <w:spacing w:line="300" w:lineRule="atLeast"/>
        <w:ind w:right="420"/>
        <w:jc w:val="right"/>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 xml:space="preserve">    </w:t>
      </w:r>
      <w:r>
        <w:rPr>
          <w:rFonts w:hint="eastAsia" w:asciiTheme="majorEastAsia" w:hAnsiTheme="majorEastAsia" w:eastAsiaTheme="majorEastAsia" w:cstheme="majorEastAsia"/>
          <w:color w:val="auto"/>
          <w:lang w:val="en-US" w:eastAsia="zh-CN"/>
        </w:rPr>
        <w:t xml:space="preserve"> </w:t>
      </w:r>
      <w:r>
        <w:rPr>
          <w:rFonts w:hint="eastAsia" w:asciiTheme="majorEastAsia" w:hAnsiTheme="majorEastAsia" w:eastAsiaTheme="majorEastAsia" w:cstheme="majorEastAsia"/>
          <w:color w:val="auto"/>
        </w:rPr>
        <w:t>承诺企业法人代表或委托代理人（签章）</w:t>
      </w:r>
    </w:p>
    <w:p w14:paraId="16CDB513">
      <w:pPr>
        <w:adjustRightInd w:val="0"/>
        <w:snapToGrid w:val="0"/>
        <w:spacing w:line="300" w:lineRule="atLeast"/>
        <w:ind w:left="3360" w:leftChars="1600" w:right="420" w:firstLine="1050" w:firstLineChars="500"/>
        <w:jc w:val="right"/>
        <w:rPr>
          <w:rFonts w:hint="eastAsia" w:asciiTheme="majorEastAsia" w:hAnsiTheme="majorEastAsia" w:eastAsiaTheme="majorEastAsia" w:cstheme="majorEastAsia"/>
          <w:color w:val="auto"/>
          <w:lang w:val="en-US" w:eastAsia="zh-CN"/>
        </w:rPr>
      </w:pPr>
      <w:r>
        <w:rPr>
          <w:rFonts w:hint="eastAsia" w:asciiTheme="majorEastAsia" w:hAnsiTheme="majorEastAsia" w:eastAsiaTheme="majorEastAsia" w:cstheme="majorEastAsia"/>
          <w:color w:val="auto"/>
        </w:rPr>
        <w:t>承诺企业名称（公章）</w:t>
      </w:r>
      <w:r>
        <w:rPr>
          <w:rFonts w:hint="eastAsia" w:asciiTheme="majorEastAsia" w:hAnsiTheme="majorEastAsia" w:eastAsiaTheme="majorEastAsia" w:cstheme="majorEastAsia"/>
          <w:color w:val="auto"/>
          <w:lang w:val="en-US" w:eastAsia="zh-CN"/>
        </w:rPr>
        <w:t xml:space="preserve">                           </w:t>
      </w:r>
    </w:p>
    <w:p w14:paraId="2E1AEA67">
      <w:pPr>
        <w:adjustRightInd w:val="0"/>
        <w:snapToGrid w:val="0"/>
        <w:spacing w:line="300" w:lineRule="atLeast"/>
        <w:ind w:left="315"/>
        <w:jc w:val="right"/>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 xml:space="preserve">                                      </w:t>
      </w:r>
      <w:r>
        <w:rPr>
          <w:rFonts w:hint="eastAsia" w:asciiTheme="majorEastAsia" w:hAnsiTheme="majorEastAsia" w:eastAsiaTheme="majorEastAsia" w:cstheme="majorEastAsia"/>
          <w:color w:val="auto"/>
          <w:u w:val="single"/>
        </w:rPr>
        <w:t xml:space="preserve">          </w:t>
      </w:r>
      <w:r>
        <w:rPr>
          <w:rFonts w:hint="eastAsia" w:asciiTheme="majorEastAsia" w:hAnsiTheme="majorEastAsia" w:eastAsiaTheme="majorEastAsia" w:cstheme="majorEastAsia"/>
          <w:color w:val="auto"/>
          <w:u w:val="single"/>
          <w:lang w:val="en-US" w:eastAsia="zh-CN"/>
        </w:rPr>
        <w:t xml:space="preserve">                         </w:t>
      </w:r>
      <w:r>
        <w:rPr>
          <w:rFonts w:hint="eastAsia" w:asciiTheme="majorEastAsia" w:hAnsiTheme="majorEastAsia" w:eastAsiaTheme="majorEastAsia" w:cstheme="majorEastAsia"/>
          <w:color w:val="auto"/>
          <w:u w:val="single"/>
        </w:rPr>
        <w:t xml:space="preserve">    </w:t>
      </w:r>
    </w:p>
    <w:p w14:paraId="73300AE0">
      <w:pPr>
        <w:adjustRightInd w:val="0"/>
        <w:snapToGrid w:val="0"/>
        <w:spacing w:line="300" w:lineRule="atLeast"/>
        <w:ind w:left="315" w:leftChars="150" w:firstLine="482" w:firstLineChars="200"/>
        <w:jc w:val="center"/>
        <w:rPr>
          <w:rFonts w:hint="eastAsia" w:asciiTheme="majorEastAsia" w:hAnsiTheme="majorEastAsia" w:eastAsiaTheme="majorEastAsia" w:cstheme="majorEastAsia"/>
          <w:b/>
          <w:i w:val="0"/>
          <w:iCs w:val="0"/>
          <w:color w:val="auto"/>
          <w:sz w:val="24"/>
          <w:szCs w:val="24"/>
          <w:u w:val="single"/>
          <w:lang w:val="en-US" w:eastAsia="zh-CN"/>
        </w:rPr>
      </w:pPr>
      <w:r>
        <w:rPr>
          <w:rFonts w:hint="eastAsia" w:asciiTheme="majorEastAsia" w:hAnsiTheme="majorEastAsia" w:eastAsiaTheme="majorEastAsia" w:cstheme="majorEastAsia"/>
          <w:b/>
          <w:i w:val="0"/>
          <w:iCs w:val="0"/>
          <w:color w:val="auto"/>
          <w:sz w:val="24"/>
          <w:szCs w:val="24"/>
          <w:u w:val="single"/>
          <w:lang w:val="en-US" w:eastAsia="zh-CN"/>
        </w:rPr>
        <w:t xml:space="preserve">                                </w:t>
      </w:r>
    </w:p>
    <w:p w14:paraId="34335C58">
      <w:pPr>
        <w:jc w:val="left"/>
        <w:rPr>
          <w:rFonts w:hint="eastAsia" w:asciiTheme="majorEastAsia" w:hAnsiTheme="majorEastAsia" w:eastAsiaTheme="majorEastAsia" w:cstheme="majorEastAsia"/>
          <w:b/>
          <w:color w:val="auto"/>
          <w:sz w:val="24"/>
          <w:szCs w:val="24"/>
        </w:rPr>
      </w:pPr>
      <w:r>
        <w:rPr>
          <w:rFonts w:hint="eastAsia" w:asciiTheme="majorEastAsia" w:hAnsiTheme="majorEastAsia" w:eastAsiaTheme="majorEastAsia" w:cstheme="majorEastAsia"/>
          <w:b/>
          <w:color w:val="auto"/>
          <w:sz w:val="24"/>
          <w:szCs w:val="24"/>
        </w:rPr>
        <w:t xml:space="preserve">         </w:t>
      </w:r>
    </w:p>
    <w:p w14:paraId="30A9F69D">
      <w:pPr>
        <w:ind w:left="315" w:leftChars="150" w:right="480" w:firstLine="6007" w:firstLineChars="2493"/>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b/>
          <w:color w:val="auto"/>
          <w:sz w:val="24"/>
          <w:szCs w:val="24"/>
        </w:rPr>
        <w:t xml:space="preserve">年  </w:t>
      </w:r>
      <w:r>
        <w:rPr>
          <w:rFonts w:hint="eastAsia" w:asciiTheme="majorEastAsia" w:hAnsiTheme="majorEastAsia" w:eastAsiaTheme="majorEastAsia" w:cstheme="majorEastAsia"/>
          <w:b/>
          <w:color w:val="auto"/>
          <w:sz w:val="24"/>
          <w:szCs w:val="24"/>
          <w:lang w:val="en-US" w:eastAsia="zh-CN"/>
        </w:rPr>
        <w:t xml:space="preserve"> </w:t>
      </w:r>
      <w:r>
        <w:rPr>
          <w:rFonts w:hint="eastAsia" w:asciiTheme="majorEastAsia" w:hAnsiTheme="majorEastAsia" w:eastAsiaTheme="majorEastAsia" w:cstheme="majorEastAsia"/>
          <w:b/>
          <w:color w:val="auto"/>
          <w:sz w:val="24"/>
          <w:szCs w:val="24"/>
        </w:rPr>
        <w:t xml:space="preserve">月 </w:t>
      </w:r>
      <w:r>
        <w:rPr>
          <w:rFonts w:hint="eastAsia" w:asciiTheme="majorEastAsia" w:hAnsiTheme="majorEastAsia" w:eastAsiaTheme="majorEastAsia" w:cstheme="majorEastAsia"/>
          <w:b/>
          <w:color w:val="auto"/>
          <w:sz w:val="24"/>
          <w:szCs w:val="24"/>
          <w:lang w:val="en-US" w:eastAsia="zh-CN"/>
        </w:rPr>
        <w:t xml:space="preserve">  </w:t>
      </w:r>
      <w:r>
        <w:rPr>
          <w:rFonts w:hint="eastAsia" w:asciiTheme="majorEastAsia" w:hAnsiTheme="majorEastAsia" w:eastAsiaTheme="majorEastAsia" w:cstheme="majorEastAsia"/>
          <w:b/>
          <w:color w:val="auto"/>
          <w:sz w:val="24"/>
          <w:szCs w:val="24"/>
        </w:rPr>
        <w:t>日</w:t>
      </w:r>
    </w:p>
    <w:p w14:paraId="69754C4E">
      <w:pPr>
        <w:widowControl/>
        <w:jc w:val="left"/>
        <w:rPr>
          <w:rFonts w:asciiTheme="minorEastAsia" w:hAnsiTheme="minorEastAsia" w:eastAsiaTheme="minorEastAsia"/>
          <w:sz w:val="24"/>
        </w:rPr>
      </w:pPr>
    </w:p>
    <w:p w14:paraId="7B393F05">
      <w:bookmarkStart w:id="0" w:name="_GoBack"/>
      <w:bookmarkEnd w:id="0"/>
    </w:p>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8"/>
    <w:multiLevelType w:val="multilevel"/>
    <w:tmpl w:val="00000008"/>
    <w:lvl w:ilvl="0" w:tentative="0">
      <w:start w:val="1"/>
      <w:numFmt w:val="decimal"/>
      <w:lvlText w:val="%1."/>
      <w:lvlJc w:val="left"/>
      <w:pPr>
        <w:tabs>
          <w:tab w:val="left" w:pos="502"/>
        </w:tabs>
        <w:ind w:left="502" w:hanging="360"/>
      </w:pPr>
      <w:rPr>
        <w:rFonts w:hint="default" w:cs="Times New Roman"/>
      </w:rPr>
    </w:lvl>
    <w:lvl w:ilvl="1" w:tentative="0">
      <w:start w:val="1"/>
      <w:numFmt w:val="decimal"/>
      <w:lvlText w:val="（%2）"/>
      <w:lvlJc w:val="left"/>
      <w:pPr>
        <w:tabs>
          <w:tab w:val="left" w:pos="862"/>
        </w:tabs>
        <w:ind w:left="862" w:hanging="720"/>
      </w:pPr>
      <w:rPr>
        <w:rFonts w:hint="default" w:cs="Times New Roman"/>
      </w:rPr>
    </w:lvl>
    <w:lvl w:ilvl="2" w:tentative="0">
      <w:start w:val="1"/>
      <w:numFmt w:val="lowerRoman"/>
      <w:lvlText w:val="%3."/>
      <w:lvlJc w:val="right"/>
      <w:pPr>
        <w:tabs>
          <w:tab w:val="left" w:pos="1402"/>
        </w:tabs>
        <w:ind w:left="1402" w:hanging="420"/>
      </w:pPr>
      <w:rPr>
        <w:rFonts w:cs="Times New Roman"/>
      </w:rPr>
    </w:lvl>
    <w:lvl w:ilvl="3" w:tentative="0">
      <w:start w:val="1"/>
      <w:numFmt w:val="decimal"/>
      <w:lvlText w:val="%4."/>
      <w:lvlJc w:val="left"/>
      <w:pPr>
        <w:tabs>
          <w:tab w:val="left" w:pos="1822"/>
        </w:tabs>
        <w:ind w:left="1822" w:hanging="420"/>
      </w:pPr>
      <w:rPr>
        <w:rFonts w:cs="Times New Roman"/>
      </w:rPr>
    </w:lvl>
    <w:lvl w:ilvl="4" w:tentative="0">
      <w:start w:val="1"/>
      <w:numFmt w:val="lowerLetter"/>
      <w:lvlText w:val="%5)"/>
      <w:lvlJc w:val="left"/>
      <w:pPr>
        <w:tabs>
          <w:tab w:val="left" w:pos="2242"/>
        </w:tabs>
        <w:ind w:left="2242" w:hanging="420"/>
      </w:pPr>
      <w:rPr>
        <w:rFonts w:cs="Times New Roman"/>
      </w:rPr>
    </w:lvl>
    <w:lvl w:ilvl="5" w:tentative="0">
      <w:start w:val="1"/>
      <w:numFmt w:val="lowerRoman"/>
      <w:lvlText w:val="%6."/>
      <w:lvlJc w:val="right"/>
      <w:pPr>
        <w:tabs>
          <w:tab w:val="left" w:pos="2662"/>
        </w:tabs>
        <w:ind w:left="2662" w:hanging="420"/>
      </w:pPr>
      <w:rPr>
        <w:rFonts w:cs="Times New Roman"/>
      </w:rPr>
    </w:lvl>
    <w:lvl w:ilvl="6" w:tentative="0">
      <w:start w:val="1"/>
      <w:numFmt w:val="decimal"/>
      <w:lvlText w:val="%7."/>
      <w:lvlJc w:val="left"/>
      <w:pPr>
        <w:tabs>
          <w:tab w:val="left" w:pos="3082"/>
        </w:tabs>
        <w:ind w:left="3082" w:hanging="420"/>
      </w:pPr>
      <w:rPr>
        <w:rFonts w:cs="Times New Roman"/>
      </w:rPr>
    </w:lvl>
    <w:lvl w:ilvl="7" w:tentative="0">
      <w:start w:val="1"/>
      <w:numFmt w:val="lowerLetter"/>
      <w:lvlText w:val="%8)"/>
      <w:lvlJc w:val="left"/>
      <w:pPr>
        <w:tabs>
          <w:tab w:val="left" w:pos="3502"/>
        </w:tabs>
        <w:ind w:left="3502" w:hanging="420"/>
      </w:pPr>
      <w:rPr>
        <w:rFonts w:cs="Times New Roman"/>
      </w:rPr>
    </w:lvl>
    <w:lvl w:ilvl="8" w:tentative="0">
      <w:start w:val="1"/>
      <w:numFmt w:val="lowerRoman"/>
      <w:lvlText w:val="%9."/>
      <w:lvlJc w:val="right"/>
      <w:pPr>
        <w:tabs>
          <w:tab w:val="left" w:pos="3922"/>
        </w:tabs>
        <w:ind w:left="3922" w:hanging="420"/>
      </w:pPr>
      <w:rPr>
        <w:rFonts w:cs="Times New Roman"/>
      </w:rPr>
    </w:lvl>
  </w:abstractNum>
  <w:abstractNum w:abstractNumId="1">
    <w:nsid w:val="0000000B"/>
    <w:multiLevelType w:val="multilevel"/>
    <w:tmpl w:val="0000000B"/>
    <w:lvl w:ilvl="0" w:tentative="0">
      <w:start w:val="1"/>
      <w:numFmt w:val="decimal"/>
      <w:lvlText w:val="%1."/>
      <w:lvlJc w:val="left"/>
      <w:pPr>
        <w:tabs>
          <w:tab w:val="left" w:pos="502"/>
        </w:tabs>
        <w:ind w:left="502" w:hanging="360"/>
      </w:pPr>
      <w:rPr>
        <w:rFonts w:hint="default" w:cs="Times New Roman"/>
      </w:rPr>
    </w:lvl>
    <w:lvl w:ilvl="1" w:tentative="0">
      <w:start w:val="1"/>
      <w:numFmt w:val="lowerLetter"/>
      <w:lvlText w:val="%2)"/>
      <w:lvlJc w:val="left"/>
      <w:pPr>
        <w:tabs>
          <w:tab w:val="left" w:pos="982"/>
        </w:tabs>
        <w:ind w:left="982" w:hanging="420"/>
      </w:pPr>
      <w:rPr>
        <w:rFonts w:cs="Times New Roman"/>
      </w:rPr>
    </w:lvl>
    <w:lvl w:ilvl="2" w:tentative="0">
      <w:start w:val="1"/>
      <w:numFmt w:val="lowerRoman"/>
      <w:lvlText w:val="%3."/>
      <w:lvlJc w:val="right"/>
      <w:pPr>
        <w:tabs>
          <w:tab w:val="left" w:pos="1402"/>
        </w:tabs>
        <w:ind w:left="1402" w:hanging="420"/>
      </w:pPr>
      <w:rPr>
        <w:rFonts w:cs="Times New Roman"/>
      </w:rPr>
    </w:lvl>
    <w:lvl w:ilvl="3" w:tentative="0">
      <w:start w:val="1"/>
      <w:numFmt w:val="decimal"/>
      <w:lvlText w:val="%4."/>
      <w:lvlJc w:val="left"/>
      <w:pPr>
        <w:tabs>
          <w:tab w:val="left" w:pos="1822"/>
        </w:tabs>
        <w:ind w:left="1822" w:hanging="420"/>
      </w:pPr>
      <w:rPr>
        <w:rFonts w:cs="Times New Roman"/>
      </w:rPr>
    </w:lvl>
    <w:lvl w:ilvl="4" w:tentative="0">
      <w:start w:val="1"/>
      <w:numFmt w:val="lowerLetter"/>
      <w:lvlText w:val="%5)"/>
      <w:lvlJc w:val="left"/>
      <w:pPr>
        <w:tabs>
          <w:tab w:val="left" w:pos="2242"/>
        </w:tabs>
        <w:ind w:left="2242" w:hanging="420"/>
      </w:pPr>
      <w:rPr>
        <w:rFonts w:cs="Times New Roman"/>
      </w:rPr>
    </w:lvl>
    <w:lvl w:ilvl="5" w:tentative="0">
      <w:start w:val="1"/>
      <w:numFmt w:val="lowerRoman"/>
      <w:lvlText w:val="%6."/>
      <w:lvlJc w:val="right"/>
      <w:pPr>
        <w:tabs>
          <w:tab w:val="left" w:pos="2662"/>
        </w:tabs>
        <w:ind w:left="2662" w:hanging="420"/>
      </w:pPr>
      <w:rPr>
        <w:rFonts w:cs="Times New Roman"/>
      </w:rPr>
    </w:lvl>
    <w:lvl w:ilvl="6" w:tentative="0">
      <w:start w:val="1"/>
      <w:numFmt w:val="decimal"/>
      <w:lvlText w:val="%7."/>
      <w:lvlJc w:val="left"/>
      <w:pPr>
        <w:tabs>
          <w:tab w:val="left" w:pos="3082"/>
        </w:tabs>
        <w:ind w:left="3082" w:hanging="420"/>
      </w:pPr>
      <w:rPr>
        <w:rFonts w:cs="Times New Roman"/>
      </w:rPr>
    </w:lvl>
    <w:lvl w:ilvl="7" w:tentative="0">
      <w:start w:val="1"/>
      <w:numFmt w:val="lowerLetter"/>
      <w:lvlText w:val="%8)"/>
      <w:lvlJc w:val="left"/>
      <w:pPr>
        <w:tabs>
          <w:tab w:val="left" w:pos="3502"/>
        </w:tabs>
        <w:ind w:left="3502" w:hanging="420"/>
      </w:pPr>
      <w:rPr>
        <w:rFonts w:cs="Times New Roman"/>
      </w:rPr>
    </w:lvl>
    <w:lvl w:ilvl="8" w:tentative="0">
      <w:start w:val="1"/>
      <w:numFmt w:val="lowerRoman"/>
      <w:lvlText w:val="%9."/>
      <w:lvlJc w:val="right"/>
      <w:pPr>
        <w:tabs>
          <w:tab w:val="left" w:pos="3922"/>
        </w:tabs>
        <w:ind w:left="3922" w:hanging="42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TJkMmEzNzdkOWZjOWM4ZGFiZDdlYWExOWNlYzIzMWMifQ=="/>
  </w:docVars>
  <w:rsids>
    <w:rsidRoot w:val="00D7722C"/>
    <w:rsid w:val="00030D75"/>
    <w:rsid w:val="0010148C"/>
    <w:rsid w:val="00273BC0"/>
    <w:rsid w:val="00273C66"/>
    <w:rsid w:val="002B4CA3"/>
    <w:rsid w:val="00365FDA"/>
    <w:rsid w:val="00367391"/>
    <w:rsid w:val="003C3E10"/>
    <w:rsid w:val="006C1A84"/>
    <w:rsid w:val="0070306F"/>
    <w:rsid w:val="007C30DC"/>
    <w:rsid w:val="007E059A"/>
    <w:rsid w:val="00890B43"/>
    <w:rsid w:val="008A17EE"/>
    <w:rsid w:val="009A036E"/>
    <w:rsid w:val="009B6E3A"/>
    <w:rsid w:val="00BE083A"/>
    <w:rsid w:val="00CB05E7"/>
    <w:rsid w:val="00D7722C"/>
    <w:rsid w:val="00DE11BB"/>
    <w:rsid w:val="00E97424"/>
    <w:rsid w:val="00FE24A9"/>
    <w:rsid w:val="04C02A38"/>
    <w:rsid w:val="04F419D9"/>
    <w:rsid w:val="0F6A7598"/>
    <w:rsid w:val="23002F93"/>
    <w:rsid w:val="29692EF0"/>
    <w:rsid w:val="3BB177EC"/>
    <w:rsid w:val="49060201"/>
    <w:rsid w:val="4AD21971"/>
    <w:rsid w:val="5215084E"/>
    <w:rsid w:val="5F2555CB"/>
    <w:rsid w:val="6080651B"/>
    <w:rsid w:val="6AEA51E8"/>
    <w:rsid w:val="6CD2236D"/>
    <w:rsid w:val="72EA21A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link w:val="9"/>
    <w:semiHidden/>
    <w:unhideWhenUsed/>
    <w:qFormat/>
    <w:uiPriority w:val="99"/>
    <w:pPr>
      <w:jc w:val="left"/>
    </w:pPr>
    <w:rPr>
      <w:rFonts w:ascii="等线" w:hAnsi="等线" w:eastAsia="等线" w:cs="Times New Roman"/>
    </w:rPr>
  </w:style>
  <w:style w:type="paragraph" w:styleId="3">
    <w:name w:val="Balloon Text"/>
    <w:basedOn w:val="1"/>
    <w:link w:val="10"/>
    <w:semiHidden/>
    <w:unhideWhenUsed/>
    <w:qFormat/>
    <w:uiPriority w:val="99"/>
    <w:rPr>
      <w:sz w:val="18"/>
      <w:szCs w:val="18"/>
    </w:rPr>
  </w:style>
  <w:style w:type="paragraph" w:styleId="4">
    <w:name w:val="footer"/>
    <w:basedOn w:val="1"/>
    <w:link w:val="12"/>
    <w:autoRedefine/>
    <w:unhideWhenUsed/>
    <w:qFormat/>
    <w:uiPriority w:val="99"/>
    <w:pPr>
      <w:tabs>
        <w:tab w:val="center" w:pos="4153"/>
        <w:tab w:val="right" w:pos="8306"/>
      </w:tabs>
      <w:snapToGrid w:val="0"/>
      <w:jc w:val="left"/>
    </w:pPr>
    <w:rPr>
      <w:sz w:val="18"/>
      <w:szCs w:val="18"/>
    </w:rPr>
  </w:style>
  <w:style w:type="paragraph" w:styleId="5">
    <w:name w:val="header"/>
    <w:basedOn w:val="1"/>
    <w:link w:val="11"/>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annotation reference"/>
    <w:autoRedefine/>
    <w:semiHidden/>
    <w:unhideWhenUsed/>
    <w:qFormat/>
    <w:uiPriority w:val="99"/>
    <w:rPr>
      <w:sz w:val="21"/>
      <w:szCs w:val="21"/>
    </w:rPr>
  </w:style>
  <w:style w:type="character" w:customStyle="1" w:styleId="9">
    <w:name w:val="批注文字 Char"/>
    <w:basedOn w:val="7"/>
    <w:link w:val="2"/>
    <w:autoRedefine/>
    <w:semiHidden/>
    <w:qFormat/>
    <w:uiPriority w:val="99"/>
    <w:rPr>
      <w:rFonts w:ascii="等线" w:hAnsi="等线" w:eastAsia="等线" w:cs="Times New Roman"/>
    </w:rPr>
  </w:style>
  <w:style w:type="character" w:customStyle="1" w:styleId="10">
    <w:name w:val="批注框文本 Char"/>
    <w:basedOn w:val="7"/>
    <w:link w:val="3"/>
    <w:autoRedefine/>
    <w:semiHidden/>
    <w:qFormat/>
    <w:uiPriority w:val="99"/>
    <w:rPr>
      <w:sz w:val="18"/>
      <w:szCs w:val="18"/>
    </w:rPr>
  </w:style>
  <w:style w:type="character" w:customStyle="1" w:styleId="11">
    <w:name w:val="页眉 Char"/>
    <w:basedOn w:val="7"/>
    <w:link w:val="5"/>
    <w:autoRedefine/>
    <w:qFormat/>
    <w:uiPriority w:val="99"/>
    <w:rPr>
      <w:sz w:val="18"/>
      <w:szCs w:val="18"/>
    </w:rPr>
  </w:style>
  <w:style w:type="character" w:customStyle="1" w:styleId="12">
    <w:name w:val="页脚 Char"/>
    <w:basedOn w:val="7"/>
    <w:link w:val="4"/>
    <w:autoRedefine/>
    <w:qFormat/>
    <w:uiPriority w:val="99"/>
    <w:rPr>
      <w:sz w:val="18"/>
      <w:szCs w:val="18"/>
    </w:rPr>
  </w:style>
  <w:style w:type="paragraph" w:styleId="13">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2</Pages>
  <Words>1110</Words>
  <Characters>1114</Characters>
  <Lines>8</Lines>
  <Paragraphs>2</Paragraphs>
  <TotalTime>0</TotalTime>
  <ScaleCrop>false</ScaleCrop>
  <LinksUpToDate>false</LinksUpToDate>
  <CharactersWithSpaces>1270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2019-11-25T09:06:00Z</dcterms:created>
  <dc:creator>xmin</dc:creator>
  <cp:lastModifiedBy>飞儿</cp:lastModifiedBy>
  <cp:lastPrinted>2024-07-11T02:47:00Z</cp:lastPrinted>
  <dcterms:modified xsi:type="dcterms:W3CDTF">2024-11-21T07:35:02Z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D4083079296B440E8A87057D4F103A01_12</vt:lpwstr>
  </property>
</Properties>
</file>