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E1A58" w14:textId="77777777" w:rsidR="00546450" w:rsidRDefault="00000000">
      <w:pPr>
        <w:rPr>
          <w:rFonts w:ascii="Times New Roman" w:eastAsia="方正黑体_GBK" w:hAnsi="Times New Roman" w:cs="Times New Roman"/>
          <w:bCs/>
          <w:snapToGrid w:val="0"/>
          <w:kern w:val="44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snapToGrid w:val="0"/>
          <w:kern w:val="44"/>
          <w:sz w:val="32"/>
          <w:szCs w:val="32"/>
        </w:rPr>
        <w:t>附件１</w:t>
      </w:r>
    </w:p>
    <w:p w14:paraId="18B55286" w14:textId="77777777" w:rsidR="00546450" w:rsidRPr="001F00BF" w:rsidRDefault="00000000" w:rsidP="001F00BF">
      <w:pPr>
        <w:spacing w:after="0" w:line="560" w:lineRule="exact"/>
        <w:jc w:val="center"/>
        <w:outlineLvl w:val="0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1F00BF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成都都江堰源盛投资有限公司</w:t>
      </w:r>
    </w:p>
    <w:p w14:paraId="7F2BAD20" w14:textId="77777777" w:rsidR="00546450" w:rsidRDefault="00000000" w:rsidP="001F00BF">
      <w:pPr>
        <w:pStyle w:val="a4"/>
        <w:spacing w:after="0"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lang w:bidi="ar"/>
        </w:rPr>
      </w:pPr>
      <w:r w:rsidRPr="001F00BF">
        <w:rPr>
          <w:rFonts w:ascii="方正小标宋简体" w:eastAsia="方正小标宋简体" w:hint="eastAsia"/>
          <w:sz w:val="44"/>
          <w:szCs w:val="44"/>
        </w:rPr>
        <w:t>面向社会公开招聘工作人员岗位一览</w:t>
      </w:r>
      <w:r w:rsidRPr="001F00BF">
        <w:rPr>
          <w:rFonts w:ascii="方正小标宋简体" w:eastAsia="方正小标宋简体" w:hint="eastAsia"/>
          <w:color w:val="000000"/>
          <w:sz w:val="44"/>
          <w:szCs w:val="44"/>
          <w:lang w:bidi="ar"/>
        </w:rPr>
        <w:t>表</w:t>
      </w:r>
    </w:p>
    <w:p w14:paraId="7A09D0FB" w14:textId="77777777" w:rsidR="001F00BF" w:rsidRPr="001F00BF" w:rsidRDefault="001F00BF" w:rsidP="001F00BF">
      <w:pPr>
        <w:rPr>
          <w:lang w:bidi="ar"/>
        </w:rPr>
      </w:pPr>
    </w:p>
    <w:tbl>
      <w:tblPr>
        <w:tblW w:w="14379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815"/>
        <w:gridCol w:w="992"/>
        <w:gridCol w:w="4252"/>
        <w:gridCol w:w="5431"/>
        <w:gridCol w:w="1049"/>
        <w:gridCol w:w="1049"/>
      </w:tblGrid>
      <w:tr w:rsidR="00546450" w14:paraId="6464A0F6" w14:textId="77777777" w:rsidTr="001F00BF">
        <w:trPr>
          <w:trHeight w:val="600"/>
          <w:jc w:val="center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ABA5" w14:textId="77777777" w:rsidR="00546450" w:rsidRDefault="00000000" w:rsidP="001F00BF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BF12" w14:textId="77777777" w:rsidR="00546450" w:rsidRDefault="00000000" w:rsidP="001F00BF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DF1E" w14:textId="77777777" w:rsidR="00546450" w:rsidRDefault="00000000" w:rsidP="001F00BF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职数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69F9" w14:textId="2A9C7582" w:rsidR="00546450" w:rsidRDefault="00E164CD" w:rsidP="001F00BF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岗位任职条件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5AC2" w14:textId="51A7BA21" w:rsidR="00546450" w:rsidRDefault="00E164CD" w:rsidP="001F00BF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CB47E" w14:textId="77777777" w:rsidR="00546450" w:rsidRDefault="00000000" w:rsidP="001F00BF">
            <w:pPr>
              <w:widowControl/>
              <w:snapToGrid w:val="0"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snapToGrid w:val="0"/>
                <w:color w:val="000000"/>
                <w:kern w:val="0"/>
                <w:sz w:val="24"/>
                <w:lang w:bidi="ar"/>
              </w:rPr>
              <w:t>年龄</w:t>
            </w:r>
          </w:p>
          <w:p w14:paraId="557534E4" w14:textId="77777777" w:rsidR="00546450" w:rsidRDefault="00000000" w:rsidP="001F00BF">
            <w:pPr>
              <w:widowControl/>
              <w:snapToGrid w:val="0"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snapToGrid w:val="0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7AF70F" w14:textId="77777777" w:rsidR="00546450" w:rsidRDefault="00000000" w:rsidP="001F00BF">
            <w:pPr>
              <w:widowControl/>
              <w:snapToGrid w:val="0"/>
              <w:spacing w:after="0" w:line="24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46450" w14:paraId="736643BB" w14:textId="77777777" w:rsidTr="001F00BF">
        <w:trPr>
          <w:trHeight w:val="2200"/>
          <w:jc w:val="center"/>
        </w:trPr>
        <w:tc>
          <w:tcPr>
            <w:tcW w:w="7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0320E" w14:textId="55F47517" w:rsidR="00546450" w:rsidRPr="001F00BF" w:rsidRDefault="001F00BF" w:rsidP="001F00BF">
            <w:pPr>
              <w:widowControl/>
              <w:spacing w:after="0"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14D4" w14:textId="77777777" w:rsidR="00546450" w:rsidRPr="001F00BF" w:rsidRDefault="00000000" w:rsidP="001F00BF">
            <w:pPr>
              <w:widowControl/>
              <w:snapToGrid w:val="0"/>
              <w:spacing w:after="0" w:line="240" w:lineRule="atLeas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1F00BF">
              <w:rPr>
                <w:rFonts w:ascii="Times New Roman" w:hAnsi="Times New Roman" w:cs="Times New Roman"/>
                <w:szCs w:val="21"/>
              </w:rPr>
              <w:t>风控合规岗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0FBC" w14:textId="77777777" w:rsidR="00546450" w:rsidRPr="001F00BF" w:rsidRDefault="00000000" w:rsidP="001F00BF">
            <w:pPr>
              <w:widowControl/>
              <w:spacing w:after="0" w:line="240" w:lineRule="atLeast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1F00BF"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  <w:r w:rsidRPr="001F00BF">
              <w:rPr>
                <w:rFonts w:ascii="Times New Roman" w:eastAsia="方正仿宋_GBK" w:hAnsi="Times New Roman" w:cs="Times New Roman" w:hint="eastAsia"/>
                <w:szCs w:val="21"/>
              </w:rPr>
              <w:t>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8FEA" w14:textId="77777777" w:rsidR="00546450" w:rsidRPr="001F00BF" w:rsidRDefault="00000000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大学本科及以上学历，并取得相应学位证书；</w:t>
            </w:r>
          </w:p>
          <w:p w14:paraId="7EB2DE11" w14:textId="77777777" w:rsidR="00546450" w:rsidRPr="001F00BF" w:rsidRDefault="00000000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法律、财务、审计、经济、管理等相关专业；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EFE3F1E" w14:textId="77777777" w:rsidR="00546450" w:rsidRPr="001F00BF" w:rsidRDefault="00000000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具有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年及以上金融机构、投资机构、律师事务所、会计师事务所等投资相关的法务、审计、合规、风控等工作经验，具有法律、财务相关的尽调实操经验；</w:t>
            </w:r>
          </w:p>
          <w:p w14:paraId="6AC82EFF" w14:textId="77777777" w:rsidR="00546450" w:rsidRPr="001F00BF" w:rsidRDefault="00000000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熟悉有关法律法规，具备独立输出专业报告能力；</w:t>
            </w:r>
          </w:p>
          <w:p w14:paraId="1CBFE952" w14:textId="77777777" w:rsidR="00546450" w:rsidRPr="001F00BF" w:rsidRDefault="00000000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具有较强逻辑思维能力、项目分析能力，有较好的组织协调和沟通能力。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ABDC" w14:textId="77777777" w:rsidR="00546450" w:rsidRPr="001F00BF" w:rsidRDefault="00000000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1.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参与制定公司风险管理和法律合规相关的制度和流程，关注并学习监管机构颁布的最新政策和行业关于风控的实践，以便定期对制度和流程进行更新、完善和优化；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42DBCBD2" w14:textId="77777777" w:rsidR="00546450" w:rsidRPr="001F00BF" w:rsidRDefault="00000000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2.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参与投资项目的尽职调查、财务分析、项目谈判和投融资方案设计等前期工作；</w:t>
            </w:r>
          </w:p>
          <w:p w14:paraId="05271A46" w14:textId="77777777" w:rsidR="00546450" w:rsidRPr="001F00BF" w:rsidRDefault="00000000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3.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参与项目投后管理，及时分析和掌握已投项目的业绩走向、各项运营数据及重大事件；</w:t>
            </w:r>
          </w:p>
          <w:p w14:paraId="4827A0E2" w14:textId="77777777" w:rsidR="00546450" w:rsidRPr="001F00BF" w:rsidRDefault="00000000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4.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根据项目风险状况制定风险控制方案，执行公司的风控制度、流程和措施，包括但不限于合同审阅、投资监控；</w:t>
            </w:r>
          </w:p>
          <w:p w14:paraId="3353D372" w14:textId="77777777" w:rsidR="00546450" w:rsidRPr="001F00BF" w:rsidRDefault="00000000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5.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与团队沟通合作，推动落实相关风险管理策略和管控机制；</w:t>
            </w:r>
          </w:p>
          <w:p w14:paraId="31E391FC" w14:textId="77777777" w:rsidR="00546450" w:rsidRPr="001F00BF" w:rsidRDefault="00000000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6.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建立投资项目的风险识别模型，进行风险评估、跟踪监控，为投资决策提供依据；</w:t>
            </w:r>
          </w:p>
          <w:p w14:paraId="026434A9" w14:textId="77777777" w:rsidR="00546450" w:rsidRPr="001F00BF" w:rsidRDefault="00000000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7.</w:t>
            </w:r>
            <w:r w:rsidRPr="001F00BF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完成领导交办的其他工作。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944EF24" w14:textId="77777777" w:rsidR="00546450" w:rsidRPr="001F00BF" w:rsidRDefault="0000000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F00B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40</w:t>
            </w:r>
            <w:r w:rsidRPr="001F00B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岁及以下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4971750" w14:textId="77777777" w:rsidR="00546450" w:rsidRPr="001F00BF" w:rsidRDefault="0054645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1F00BF" w14:paraId="10FFD770" w14:textId="77777777" w:rsidTr="001F00BF">
        <w:trPr>
          <w:trHeight w:val="2200"/>
          <w:jc w:val="center"/>
        </w:trPr>
        <w:tc>
          <w:tcPr>
            <w:tcW w:w="7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5EAD5" w14:textId="1E4DE0B1" w:rsidR="001F00BF" w:rsidRPr="001F00BF" w:rsidRDefault="001F00BF" w:rsidP="001F00BF">
            <w:pPr>
              <w:widowControl/>
              <w:spacing w:after="0"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D42E" w14:textId="769E319F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投资管理岗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CAA4" w14:textId="2DE28850" w:rsidR="001F00BF" w:rsidRPr="001F00BF" w:rsidRDefault="001F00BF" w:rsidP="001F00BF">
            <w:pPr>
              <w:widowControl/>
              <w:spacing w:after="0" w:line="240" w:lineRule="atLeast"/>
              <w:jc w:val="center"/>
              <w:textAlignment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1F00BF"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  <w:r w:rsidRPr="001F00BF">
              <w:rPr>
                <w:rFonts w:ascii="Times New Roman" w:eastAsia="方正仿宋_GBK" w:hAnsi="Times New Roman" w:cs="Times New Roman" w:hint="eastAsia"/>
                <w:szCs w:val="21"/>
              </w:rPr>
              <w:t>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4019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大学本科及以上学历，并取得相应学位证书；</w:t>
            </w:r>
          </w:p>
          <w:p w14:paraId="606BF385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金融、财务、经济、管理等相关专业；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86A197F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具有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年及以上股权投资、私募基金实操等工作经验，熟悉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募投管退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全流程管理，具备独立输出专业报告能力；</w:t>
            </w:r>
          </w:p>
          <w:p w14:paraId="43A0DEED" w14:textId="0960F15C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4.</w:t>
            </w:r>
            <w:r w:rsidRPr="001F00B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具有较强逻辑思维能力、项目分析能力、商务谈判能力，有较好的组织协调和沟通能力。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1031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根据公司确定的投资方向和投资标准，关注有关市场和行业动态、项目动态，建立行业信息资料，挖掘投资机会；</w:t>
            </w:r>
          </w:p>
          <w:p w14:paraId="2132035E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根据具体项目分工，负责相应投资（拟投资）项目的行业分析、政策跟踪以及投资策略、投资模式研究；</w:t>
            </w:r>
          </w:p>
          <w:p w14:paraId="16B7DF47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3.</w:t>
            </w: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完成投资项目的尽职调查、财务分析、项目谈判和投融资方案设计等前期工作，把握项目进展，制定项目可行性报告及项目计划；</w:t>
            </w:r>
          </w:p>
          <w:p w14:paraId="26FD6E20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4.</w:t>
            </w: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负责已投项目的投后和运营管理工作，及时掌握已投项目的业绩走向、各项运营数据及重大事件，对相关数据进行汇总分析，并定期编制项目投后管理专项报告；</w:t>
            </w:r>
          </w:p>
          <w:p w14:paraId="63769877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5.</w:t>
            </w: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开展投后分析，对目标公司所在行业及发展趋势、商业模型、财务状况、投资亮点和投资风险、交易结构、退出收益等方面进行分析和测算；</w:t>
            </w:r>
          </w:p>
          <w:p w14:paraId="57C3FB13" w14:textId="77777777" w:rsidR="001F00BF" w:rsidRPr="001F00BF" w:rsidRDefault="001F00BF" w:rsidP="001F00BF">
            <w:pPr>
              <w:widowControl/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6.</w:t>
            </w: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建立投资项目档案、维护投资信息库；</w:t>
            </w:r>
          </w:p>
          <w:p w14:paraId="0D9512C7" w14:textId="1483ECAF" w:rsidR="001F00BF" w:rsidRPr="001F00BF" w:rsidRDefault="001F00BF" w:rsidP="001F00BF">
            <w:pPr>
              <w:widowControl/>
              <w:tabs>
                <w:tab w:val="left" w:pos="1403"/>
              </w:tabs>
              <w:snapToGrid w:val="0"/>
              <w:spacing w:after="0" w:line="240" w:lineRule="atLeas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7.</w:t>
            </w:r>
            <w:r w:rsidRPr="001F00BF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完成领导交办的其他工作。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AFE0641" w14:textId="241BB4D1" w:rsidR="001F00BF" w:rsidRPr="001F00BF" w:rsidRDefault="001F00BF" w:rsidP="001F00B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F00B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40</w:t>
            </w:r>
            <w:r w:rsidRPr="001F00B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岁及以下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E42BAA9" w14:textId="77777777" w:rsidR="001F00BF" w:rsidRPr="001F00BF" w:rsidRDefault="001F00BF" w:rsidP="001F00B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</w:tbl>
    <w:p w14:paraId="35415DD0" w14:textId="77777777" w:rsidR="00546450" w:rsidRDefault="00546450">
      <w:pPr>
        <w:pStyle w:val="a0"/>
        <w:rPr>
          <w:rFonts w:ascii="Times New Roman" w:eastAsia="方正仿宋_GBK" w:hAnsi="Times New Roman" w:cs="Times New Roman" w:hint="eastAsia"/>
          <w:color w:val="000000"/>
          <w:sz w:val="32"/>
          <w:szCs w:val="32"/>
          <w:lang w:bidi="ar"/>
        </w:rPr>
        <w:sectPr w:rsidR="00546450">
          <w:pgSz w:w="16838" w:h="11906" w:orient="landscape"/>
          <w:pgMar w:top="1587" w:right="1984" w:bottom="1587" w:left="1701" w:header="851" w:footer="992" w:gutter="0"/>
          <w:cols w:space="425"/>
          <w:docGrid w:type="lines" w:linePitch="312"/>
        </w:sectPr>
      </w:pPr>
    </w:p>
    <w:p w14:paraId="2D48BDA2" w14:textId="77777777" w:rsidR="00546450" w:rsidRDefault="00546450" w:rsidP="00ED0766">
      <w:pPr>
        <w:rPr>
          <w:rFonts w:hint="eastAsia"/>
        </w:rPr>
      </w:pPr>
    </w:p>
    <w:sectPr w:rsidR="00546450"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59CDF" w14:textId="77777777" w:rsidR="00437402" w:rsidRDefault="00437402" w:rsidP="00E164CD">
      <w:pPr>
        <w:spacing w:after="0" w:line="240" w:lineRule="auto"/>
      </w:pPr>
      <w:r>
        <w:separator/>
      </w:r>
    </w:p>
  </w:endnote>
  <w:endnote w:type="continuationSeparator" w:id="0">
    <w:p w14:paraId="596E1EE6" w14:textId="77777777" w:rsidR="00437402" w:rsidRDefault="00437402" w:rsidP="00E1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44862" w14:textId="77777777" w:rsidR="00437402" w:rsidRDefault="00437402" w:rsidP="00E164CD">
      <w:pPr>
        <w:spacing w:after="0" w:line="240" w:lineRule="auto"/>
      </w:pPr>
      <w:r>
        <w:separator/>
      </w:r>
    </w:p>
  </w:footnote>
  <w:footnote w:type="continuationSeparator" w:id="0">
    <w:p w14:paraId="10ABF800" w14:textId="77777777" w:rsidR="00437402" w:rsidRDefault="00437402" w:rsidP="00E16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5888D"/>
    <w:multiLevelType w:val="singleLevel"/>
    <w:tmpl w:val="0CD5888D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 w15:restartNumberingAfterBreak="0">
    <w:nsid w:val="760F3454"/>
    <w:multiLevelType w:val="singleLevel"/>
    <w:tmpl w:val="760F34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0686439">
    <w:abstractNumId w:val="1"/>
  </w:num>
  <w:num w:numId="2" w16cid:durableId="5592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450"/>
    <w:rsid w:val="001F00BF"/>
    <w:rsid w:val="002D344E"/>
    <w:rsid w:val="00387B1E"/>
    <w:rsid w:val="00437402"/>
    <w:rsid w:val="00546450"/>
    <w:rsid w:val="00696A94"/>
    <w:rsid w:val="00840A00"/>
    <w:rsid w:val="009A6917"/>
    <w:rsid w:val="00AA3ADF"/>
    <w:rsid w:val="00B2647D"/>
    <w:rsid w:val="00B81583"/>
    <w:rsid w:val="00E164CD"/>
    <w:rsid w:val="00ED0766"/>
    <w:rsid w:val="0ABB23C2"/>
    <w:rsid w:val="11220D10"/>
    <w:rsid w:val="181F4D4B"/>
    <w:rsid w:val="1B2037D4"/>
    <w:rsid w:val="1E4135D6"/>
    <w:rsid w:val="1EAB4FB5"/>
    <w:rsid w:val="22A87222"/>
    <w:rsid w:val="256C283C"/>
    <w:rsid w:val="2A4F1C53"/>
    <w:rsid w:val="2F700815"/>
    <w:rsid w:val="395EDBFE"/>
    <w:rsid w:val="43D83191"/>
    <w:rsid w:val="48D3384B"/>
    <w:rsid w:val="4EFF4254"/>
    <w:rsid w:val="517B222B"/>
    <w:rsid w:val="56834EC2"/>
    <w:rsid w:val="603F7F5F"/>
    <w:rsid w:val="620D2B24"/>
    <w:rsid w:val="644D0473"/>
    <w:rsid w:val="66374FA1"/>
    <w:rsid w:val="666C0586"/>
    <w:rsid w:val="692A247F"/>
    <w:rsid w:val="7A76394F"/>
    <w:rsid w:val="7D7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F031B"/>
  <w15:docId w15:val="{69C9934B-0963-4DE5-BE68-52CA0F28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alutation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Salutation"/>
    <w:basedOn w:val="a"/>
    <w:next w:val="a"/>
    <w:unhideWhenUsed/>
    <w:qFormat/>
    <w:rPr>
      <w:rFonts w:ascii="Times New Roman" w:eastAsia="仿宋_GB2312" w:hAnsi="Times New Roman" w:cs="Times New Roman"/>
      <w:snapToGrid w:val="0"/>
      <w:kern w:val="0"/>
      <w:sz w:val="32"/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7">
    <w:name w:val="header"/>
    <w:basedOn w:val="a"/>
    <w:link w:val="a8"/>
    <w:rsid w:val="00E164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E16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164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E16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unhideWhenUsed/>
    <w:rsid w:val="00E164CD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357960912@qq.com</cp:lastModifiedBy>
  <cp:revision>5</cp:revision>
  <cp:lastPrinted>2024-12-13T08:35:00Z</cp:lastPrinted>
  <dcterms:created xsi:type="dcterms:W3CDTF">2024-12-12T16:17:00Z</dcterms:created>
  <dcterms:modified xsi:type="dcterms:W3CDTF">2024-12-13T09:33:00Z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1A501123060C47BA2FB15B67C04E8261_43</vt:lpwstr>
  </property>
</Properties>
</file>