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  <w:t>1</w:t>
      </w:r>
    </w:p>
    <w:p w14:paraId="5720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</w:pPr>
    </w:p>
    <w:p w14:paraId="48EA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四川省自然资源厅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 w:bidi="ar"/>
        </w:rPr>
        <w:t>所属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eastAsia="zh-CN" w:bidi="ar"/>
        </w:rPr>
        <w:t>事业单位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2024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eastAsia="zh-CN" w:bidi="ar"/>
        </w:rPr>
        <w:t>年度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公开选调工作人员岗位和</w:t>
      </w:r>
    </w:p>
    <w:p w14:paraId="60B8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条件要求一览表</w:t>
      </w:r>
    </w:p>
    <w:tbl>
      <w:tblPr>
        <w:tblStyle w:val="4"/>
        <w:tblpPr w:leftFromText="180" w:rightFromText="180" w:vertAnchor="text" w:horzAnchor="page" w:tblpXSpec="center" w:tblpY="214"/>
        <w:tblOverlap w:val="never"/>
        <w:tblW w:w="12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022"/>
        <w:gridCol w:w="1005"/>
        <w:gridCol w:w="823"/>
        <w:gridCol w:w="1241"/>
        <w:gridCol w:w="1609"/>
        <w:gridCol w:w="4965"/>
      </w:tblGrid>
      <w:tr w14:paraId="2AB2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选调单位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6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选调</w:t>
            </w:r>
          </w:p>
          <w:p w14:paraId="03DF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6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岗位</w:t>
            </w:r>
          </w:p>
          <w:p w14:paraId="56C6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选调</w:t>
            </w:r>
          </w:p>
          <w:p w14:paraId="22917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名额</w:t>
            </w:r>
          </w:p>
        </w:tc>
        <w:tc>
          <w:tcPr>
            <w:tcW w:w="7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报名资格条件</w:t>
            </w:r>
          </w:p>
        </w:tc>
      </w:tr>
      <w:tr w14:paraId="71BC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3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C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5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学历学位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其他条件（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三者具备其一均可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03C8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D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四川省自然资源厅机关服务中心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财务管理岗位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管理岗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6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19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日及以后出生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大学本科及以上学历，并取得相应学士及以上学位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1.专业条件（二级学科）：经济学、经济统计学、财政学、金融学、金融工程、经济与金融、统计学、应用统计学、工程造价、会计学、财务管理、审计学、资产评估、采购管理； </w:t>
            </w:r>
          </w:p>
          <w:p w14:paraId="5DBC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2.具有会计中级职称；</w:t>
            </w:r>
          </w:p>
          <w:p w14:paraId="6A0C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3.在行政事业单位财务岗位上连续工作两年及以上（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截至2024年12月16日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，即报名第一日）。</w:t>
            </w:r>
          </w:p>
        </w:tc>
      </w:tr>
    </w:tbl>
    <w:p w14:paraId="11C56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注：1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本表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lang w:eastAsia="zh-CN"/>
        </w:rPr>
        <w:t>选调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岗位相关的其他条件及要求请见本公告正文；2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报考者本人有效毕业证所载学历和专业名称，应与报考岗位的“学历”和“专业条件要求”分别完全相符；报考者本人有效学位证所载学位，应与报考岗位的“学位”要求完全相符。</w:t>
      </w:r>
    </w:p>
    <w:p w14:paraId="5D6C00B2">
      <w:pPr>
        <w:rPr>
          <w:rFonts w:hint="eastAsia" w:ascii="Times New Roman" w:hAnsi="Times New Roman" w:eastAsia="楷体_GB2312"/>
          <w:color w:val="000000"/>
          <w:sz w:val="24"/>
          <w:highlight w:val="none"/>
        </w:rPr>
        <w:sectPr>
          <w:pgSz w:w="16838" w:h="11906" w:orient="landscape"/>
          <w:pgMar w:top="1474" w:right="1984" w:bottom="1474" w:left="1871" w:header="851" w:footer="992" w:gutter="0"/>
          <w:pgNumType w:fmt="decimal"/>
          <w:cols w:space="720" w:num="1"/>
          <w:docGrid w:type="lines" w:linePitch="319" w:charSpace="0"/>
        </w:sectPr>
      </w:pPr>
    </w:p>
    <w:p w14:paraId="7DD960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EFF0313"/>
    <w:rsid w:val="0E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2024-12-16T09:25:00Z</dcterms:created>
  <dc:creator>晨昏线</dc:creator>
  <cp:lastModifiedBy>晨昏线</cp:lastModifiedBy>
  <dcterms:modified xsi:type="dcterms:W3CDTF">2024-12-16T09:26:05Z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28F25DF7B9CB47E68B35895C00BB879C_11</vt:lpwstr>
  </property>
</Properties>
</file>