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61"/>
        <w:gridCol w:w="798"/>
        <w:gridCol w:w="1557"/>
        <w:gridCol w:w="1143"/>
        <w:gridCol w:w="1587"/>
        <w:gridCol w:w="2610"/>
        <w:gridCol w:w="3210"/>
        <w:gridCol w:w="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17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  <w:r>
              <w:rPr>
                <w:rStyle w:val="4"/>
                <w:lang w:val="en-US" w:eastAsia="zh-CN" w:bidi="ar"/>
              </w:rPr>
              <w:t>年仪征市城市发展投资控股集团有限公司</w:t>
            </w:r>
            <w:r>
              <w:rPr>
                <w:rStyle w:val="4"/>
                <w:rFonts w:hint="eastAsia"/>
                <w:lang w:val="en-US" w:eastAsia="zh-CN" w:bidi="ar"/>
              </w:rPr>
              <w:t>人才引进</w:t>
            </w:r>
            <w:r>
              <w:rPr>
                <w:rStyle w:val="4"/>
                <w:lang w:val="en-US" w:eastAsia="zh-CN" w:bidi="ar"/>
              </w:rPr>
              <w:t>岗位简介表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城发集团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财务管理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财务财会类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本科及以上学历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周岁及以下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具有中级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会计师及以上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职称，且取得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注册会计师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证书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大型企业集团（资产总额4亿元及以上、销售额3亿元及以上）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5年及以上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城发集团下属企业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highlight w:val="none"/>
                <w:lang w:val="en-US" w:eastAsia="zh-CN" w:bidi="ar"/>
              </w:rPr>
              <w:t>投资经理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财务财会类、 经济类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本科及以上学历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45周岁及以下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基金从业资格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证书</w:t>
            </w:r>
          </w:p>
        </w:tc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  <w:t>近10年内有2起及以上主导投资未上市企业股权的项目经验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 w:val="0"/>
        <w:snapToGrid w:val="0"/>
        <w:spacing w:line="540" w:lineRule="exact"/>
        <w:ind w:right="0" w:firstLine="1280" w:firstLine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C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2024-12-09T00:36:14Z</dcterms:created>
  <dc:creator>Administrator</dc:creator>
  <cp:lastModifiedBy>Administrator</cp:lastModifiedBy>
  <dcterms:modified xsi:type="dcterms:W3CDTF">2024-12-09T00:36:23Z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