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770E1">
      <w:pPr>
        <w:adjustRightInd w:val="0"/>
        <w:jc w:val="left"/>
        <w:rPr>
          <w:rFonts w:hint="eastAsia" w:ascii="方正黑体_GBK" w:hAnsi="方正黑体_GBK" w:eastAsia="方正黑体_GBK" w:cs="方正黑体_GBK"/>
          <w:b w:val="0"/>
          <w:bCs w:val="0"/>
          <w:spacing w:val="-13"/>
          <w:sz w:val="32"/>
          <w:szCs w:val="32"/>
        </w:rPr>
      </w:pPr>
      <w:r>
        <w:rPr>
          <w:rFonts w:hint="eastAsia" w:ascii="方正黑体_GBK" w:hAnsi="方正黑体_GBK" w:eastAsia="方正黑体_GBK" w:cs="方正黑体_GBK"/>
          <w:b w:val="0"/>
          <w:bCs w:val="0"/>
          <w:w w:val="95"/>
          <w:kern w:val="0"/>
          <w:sz w:val="32"/>
          <w:szCs w:val="32"/>
        </w:rPr>
        <w:t>附件1</w:t>
      </w:r>
    </w:p>
    <w:p w14:paraId="0207C500">
      <w:pPr>
        <w:adjustRightInd w:val="0"/>
        <w:jc w:val="center"/>
        <w:rPr>
          <w:rFonts w:hint="eastAsia" w:ascii="方正小标宋_GBK" w:hAnsi="Calibri" w:eastAsia="方正小标宋_GBK" w:cs="Times New Roman"/>
          <w:spacing w:val="-13"/>
          <w:sz w:val="44"/>
          <w:szCs w:val="44"/>
        </w:rPr>
      </w:pPr>
      <w:r>
        <w:rPr>
          <w:rFonts w:hint="eastAsia" w:ascii="方正小标宋_GBK" w:hAnsi="Calibri" w:eastAsia="方正小标宋_GBK" w:cs="Times New Roman"/>
          <w:spacing w:val="-13"/>
          <w:sz w:val="44"/>
          <w:szCs w:val="44"/>
          <w:lang w:eastAsia="zh-CN"/>
        </w:rPr>
        <w:t>河北</w:t>
      </w:r>
      <w:r>
        <w:rPr>
          <w:rFonts w:hint="eastAsia" w:ascii="方正小标宋_GBK" w:hAnsi="Calibri" w:eastAsia="方正小标宋_GBK" w:cs="Times New Roman"/>
          <w:spacing w:val="-13"/>
          <w:sz w:val="44"/>
          <w:szCs w:val="44"/>
        </w:rPr>
        <w:t>电力交易中心有限公司社会招聘岗位职责及要求</w:t>
      </w:r>
    </w:p>
    <w:p w14:paraId="5AB845E2"/>
    <w:tbl>
      <w:tblPr>
        <w:tblStyle w:val="5"/>
        <w:tblpPr w:leftFromText="180" w:rightFromText="180" w:vertAnchor="text" w:horzAnchor="page" w:tblpXSpec="center" w:tblpY="244"/>
        <w:tblOverlap w:val="never"/>
        <w:tblW w:w="13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902"/>
        <w:gridCol w:w="1512"/>
        <w:gridCol w:w="819"/>
        <w:gridCol w:w="5215"/>
        <w:gridCol w:w="4961"/>
      </w:tblGrid>
      <w:tr w14:paraId="4122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651" w:hRule="atLeast"/>
          <w:tblHeader/>
          <w:jc w:val="center"/>
        </w:trPr>
        <w:tc>
          <w:tcPr>
            <w:tcW w:w="902" w:type="dxa"/>
            <w:shd w:val="clear" w:color="auto" w:fill="FFFFFF"/>
            <w:tcMar>
              <w:top w:w="0" w:type="dxa"/>
              <w:left w:w="108" w:type="dxa"/>
              <w:bottom w:w="0" w:type="dxa"/>
              <w:right w:w="108" w:type="dxa"/>
            </w:tcMar>
            <w:vAlign w:val="center"/>
          </w:tcPr>
          <w:p w14:paraId="695BC977">
            <w:pPr>
              <w:widowControl/>
              <w:spacing w:line="360" w:lineRule="atLeast"/>
              <w:rPr>
                <w:rFonts w:ascii="方正仿宋_GBK" w:hAnsi="方正仿宋_GBK" w:eastAsia="方正仿宋_GBK" w:cs="方正仿宋_GBK"/>
                <w:b/>
                <w:bCs/>
              </w:rPr>
            </w:pPr>
            <w:r>
              <w:rPr>
                <w:rFonts w:hint="eastAsia" w:ascii="方正仿宋_GBK" w:hAnsi="方正仿宋_GBK" w:eastAsia="方正仿宋_GBK" w:cs="方正仿宋_GBK"/>
                <w:b/>
                <w:bCs/>
                <w:sz w:val="28"/>
                <w:szCs w:val="28"/>
                <w:lang w:bidi="ar"/>
              </w:rPr>
              <w:t>序号</w:t>
            </w:r>
          </w:p>
        </w:tc>
        <w:tc>
          <w:tcPr>
            <w:tcW w:w="1512" w:type="dxa"/>
            <w:shd w:val="clear" w:color="auto" w:fill="FFFFFF"/>
            <w:tcMar>
              <w:top w:w="0" w:type="dxa"/>
              <w:left w:w="108" w:type="dxa"/>
              <w:bottom w:w="0" w:type="dxa"/>
              <w:right w:w="108" w:type="dxa"/>
            </w:tcMar>
            <w:vAlign w:val="center"/>
          </w:tcPr>
          <w:p w14:paraId="1C2FE553">
            <w:pPr>
              <w:widowControl/>
              <w:spacing w:line="280" w:lineRule="exact"/>
              <w:jc w:val="center"/>
              <w:rPr>
                <w:rFonts w:ascii="方正仿宋_GBK" w:hAnsi="方正仿宋_GBK" w:eastAsia="方正仿宋_GBK" w:cs="方正仿宋_GBK"/>
                <w:b/>
                <w:bCs/>
              </w:rPr>
            </w:pPr>
            <w:r>
              <w:rPr>
                <w:rFonts w:hint="eastAsia" w:ascii="方正仿宋_GBK" w:hAnsi="方正仿宋_GBK" w:eastAsia="方正仿宋_GBK" w:cs="方正仿宋_GBK"/>
                <w:b/>
                <w:bCs/>
                <w:sz w:val="28"/>
                <w:szCs w:val="28"/>
                <w:lang w:bidi="ar"/>
              </w:rPr>
              <w:t>岗位名称</w:t>
            </w:r>
          </w:p>
        </w:tc>
        <w:tc>
          <w:tcPr>
            <w:tcW w:w="819" w:type="dxa"/>
            <w:shd w:val="clear" w:color="auto" w:fill="FFFFFF"/>
            <w:tcMar>
              <w:top w:w="0" w:type="dxa"/>
              <w:left w:w="108" w:type="dxa"/>
              <w:bottom w:w="0" w:type="dxa"/>
              <w:right w:w="108" w:type="dxa"/>
            </w:tcMar>
            <w:vAlign w:val="center"/>
          </w:tcPr>
          <w:p w14:paraId="650D9632">
            <w:pPr>
              <w:widowControl/>
              <w:spacing w:line="360" w:lineRule="atLeast"/>
              <w:ind w:left="-106" w:right="-107" w:hanging="1"/>
              <w:jc w:val="center"/>
              <w:rPr>
                <w:rFonts w:ascii="方正仿宋_GBK" w:hAnsi="方正仿宋_GBK" w:eastAsia="方正仿宋_GBK" w:cs="方正仿宋_GBK"/>
                <w:b/>
                <w:bCs/>
              </w:rPr>
            </w:pPr>
            <w:r>
              <w:rPr>
                <w:rFonts w:hint="eastAsia" w:ascii="方正仿宋_GBK" w:hAnsi="方正仿宋_GBK" w:eastAsia="方正仿宋_GBK" w:cs="方正仿宋_GBK"/>
                <w:b/>
                <w:bCs/>
                <w:sz w:val="28"/>
                <w:szCs w:val="28"/>
                <w:lang w:bidi="ar"/>
              </w:rPr>
              <w:t>人数</w:t>
            </w:r>
          </w:p>
        </w:tc>
        <w:tc>
          <w:tcPr>
            <w:tcW w:w="5215" w:type="dxa"/>
            <w:shd w:val="clear" w:color="auto" w:fill="FFFFFF"/>
            <w:tcMar>
              <w:top w:w="0" w:type="dxa"/>
              <w:left w:w="108" w:type="dxa"/>
              <w:bottom w:w="0" w:type="dxa"/>
              <w:right w:w="108" w:type="dxa"/>
            </w:tcMar>
            <w:vAlign w:val="center"/>
          </w:tcPr>
          <w:p w14:paraId="15B4CB4F">
            <w:pPr>
              <w:widowControl/>
              <w:spacing w:line="360" w:lineRule="atLeast"/>
              <w:jc w:val="center"/>
              <w:rPr>
                <w:rFonts w:ascii="方正仿宋_GBK" w:hAnsi="方正仿宋_GBK" w:eastAsia="方正仿宋_GBK" w:cs="方正仿宋_GBK"/>
                <w:b/>
                <w:bCs/>
                <w:highlight w:val="yellow"/>
              </w:rPr>
            </w:pPr>
            <w:r>
              <w:rPr>
                <w:rFonts w:hint="eastAsia" w:ascii="方正仿宋_GBK" w:hAnsi="方正仿宋_GBK" w:eastAsia="方正仿宋_GBK" w:cs="方正仿宋_GBK"/>
                <w:b/>
                <w:bCs/>
                <w:sz w:val="28"/>
                <w:szCs w:val="28"/>
                <w:lang w:bidi="ar"/>
              </w:rPr>
              <w:t>岗位职责</w:t>
            </w:r>
          </w:p>
        </w:tc>
        <w:tc>
          <w:tcPr>
            <w:tcW w:w="4961" w:type="dxa"/>
            <w:shd w:val="clear" w:color="auto" w:fill="FFFFFF"/>
            <w:tcMar>
              <w:top w:w="0" w:type="dxa"/>
              <w:left w:w="108" w:type="dxa"/>
              <w:bottom w:w="0" w:type="dxa"/>
              <w:right w:w="108" w:type="dxa"/>
            </w:tcMar>
            <w:vAlign w:val="center"/>
          </w:tcPr>
          <w:p w14:paraId="27154CD8">
            <w:pPr>
              <w:widowControl/>
              <w:spacing w:line="360" w:lineRule="atLeast"/>
              <w:jc w:val="center"/>
              <w:rPr>
                <w:rFonts w:ascii="方正仿宋_GBK" w:hAnsi="方正仿宋_GBK" w:eastAsia="方正仿宋_GBK" w:cs="方正仿宋_GBK"/>
                <w:b/>
                <w:bCs/>
              </w:rPr>
            </w:pPr>
            <w:r>
              <w:rPr>
                <w:rFonts w:hint="eastAsia" w:ascii="方正仿宋_GBK" w:hAnsi="方正仿宋_GBK" w:eastAsia="方正仿宋_GBK" w:cs="方正仿宋_GBK"/>
                <w:b/>
                <w:bCs/>
                <w:sz w:val="28"/>
                <w:szCs w:val="28"/>
                <w:lang w:bidi="ar"/>
              </w:rPr>
              <w:t>岗位要求</w:t>
            </w:r>
          </w:p>
        </w:tc>
      </w:tr>
      <w:tr w14:paraId="37FD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065" w:hRule="atLeast"/>
          <w:jc w:val="center"/>
        </w:trPr>
        <w:tc>
          <w:tcPr>
            <w:tcW w:w="902" w:type="dxa"/>
            <w:shd w:val="clear" w:color="auto" w:fill="FFFFFF"/>
            <w:tcMar>
              <w:top w:w="0" w:type="dxa"/>
              <w:left w:w="108" w:type="dxa"/>
              <w:bottom w:w="0" w:type="dxa"/>
              <w:right w:w="108" w:type="dxa"/>
            </w:tcMar>
            <w:vAlign w:val="center"/>
          </w:tcPr>
          <w:p w14:paraId="4AE0BC0D">
            <w:pPr>
              <w:widowControl/>
              <w:spacing w:line="280" w:lineRule="exact"/>
              <w:jc w:val="center"/>
              <w:rPr>
                <w:rFonts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1</w:t>
            </w:r>
          </w:p>
        </w:tc>
        <w:tc>
          <w:tcPr>
            <w:tcW w:w="1512" w:type="dxa"/>
            <w:shd w:val="clear" w:color="auto" w:fill="FFFFFF"/>
            <w:tcMar>
              <w:top w:w="0" w:type="dxa"/>
              <w:left w:w="108" w:type="dxa"/>
              <w:bottom w:w="0" w:type="dxa"/>
              <w:right w:w="108" w:type="dxa"/>
            </w:tcMar>
            <w:vAlign w:val="center"/>
          </w:tcPr>
          <w:p w14:paraId="13E5259E">
            <w:pPr>
              <w:widowControl/>
              <w:spacing w:line="280" w:lineRule="exact"/>
              <w:ind w:firstLine="12"/>
              <w:jc w:val="center"/>
              <w:rPr>
                <w:rFonts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rPr>
              <w:t>交易合同管理</w:t>
            </w:r>
          </w:p>
        </w:tc>
        <w:tc>
          <w:tcPr>
            <w:tcW w:w="819" w:type="dxa"/>
            <w:shd w:val="clear" w:color="auto" w:fill="FFFFFF"/>
            <w:tcMar>
              <w:top w:w="0" w:type="dxa"/>
              <w:left w:w="108" w:type="dxa"/>
              <w:bottom w:w="0" w:type="dxa"/>
              <w:right w:w="108" w:type="dxa"/>
            </w:tcMar>
            <w:vAlign w:val="center"/>
          </w:tcPr>
          <w:p w14:paraId="5951DC68">
            <w:pPr>
              <w:widowControl/>
              <w:spacing w:line="280" w:lineRule="exact"/>
              <w:jc w:val="center"/>
              <w:rPr>
                <w:rFonts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rPr>
              <w:t>1</w:t>
            </w:r>
          </w:p>
        </w:tc>
        <w:tc>
          <w:tcPr>
            <w:tcW w:w="5215" w:type="dxa"/>
            <w:shd w:val="clear" w:color="auto" w:fill="FFFFFF"/>
            <w:tcMar>
              <w:top w:w="0" w:type="dxa"/>
              <w:left w:w="108" w:type="dxa"/>
              <w:bottom w:w="0" w:type="dxa"/>
              <w:right w:w="108" w:type="dxa"/>
            </w:tcMar>
            <w:vAlign w:val="center"/>
          </w:tcPr>
          <w:p w14:paraId="5C3A8CC0">
            <w:pPr>
              <w:widowControl/>
              <w:spacing w:line="280" w:lineRule="exact"/>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1.负责电力交易、购售电与输电合同管理；</w:t>
            </w:r>
          </w:p>
          <w:p w14:paraId="2CE8CE08">
            <w:pPr>
              <w:widowControl/>
              <w:spacing w:line="280" w:lineRule="exact"/>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2.编制年度购售电合同、各类市场化交易协议示范文本；</w:t>
            </w:r>
          </w:p>
          <w:p w14:paraId="53E506A0">
            <w:pPr>
              <w:widowControl/>
              <w:spacing w:line="280" w:lineRule="exact"/>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3.负责协调签订购售电合同、电力市场交易合同，确定交易价格；</w:t>
            </w:r>
          </w:p>
          <w:p w14:paraId="40A3F887">
            <w:pPr>
              <w:widowControl/>
              <w:spacing w:line="280" w:lineRule="exact"/>
              <w:rPr>
                <w:rFonts w:ascii="方正仿宋_GBK" w:hAnsi="方正仿宋_GBK" w:eastAsia="方正仿宋_GBK" w:cs="方正仿宋_GBK"/>
                <w:sz w:val="21"/>
                <w:szCs w:val="21"/>
                <w:highlight w:val="yellow"/>
                <w:lang w:bidi="ar"/>
              </w:rPr>
            </w:pPr>
            <w:r>
              <w:rPr>
                <w:rFonts w:hint="eastAsia" w:ascii="方正仿宋_GBK" w:hAnsi="方正仿宋_GBK" w:eastAsia="方正仿宋_GBK" w:cs="方正仿宋_GBK"/>
                <w:sz w:val="21"/>
                <w:szCs w:val="21"/>
                <w:lang w:bidi="ar"/>
              </w:rPr>
              <w:t>4.汇总售电公司、电力用户与发电企业签订的电力市场双边交易合同。</w:t>
            </w:r>
          </w:p>
        </w:tc>
        <w:tc>
          <w:tcPr>
            <w:tcW w:w="4961" w:type="dxa"/>
            <w:shd w:val="clear" w:color="auto" w:fill="auto"/>
            <w:tcMar>
              <w:top w:w="0" w:type="dxa"/>
              <w:left w:w="108" w:type="dxa"/>
              <w:bottom w:w="0" w:type="dxa"/>
              <w:right w:w="108" w:type="dxa"/>
            </w:tcMar>
            <w:vAlign w:val="center"/>
          </w:tcPr>
          <w:p w14:paraId="47436F4B">
            <w:pPr>
              <w:widowControl/>
              <w:spacing w:line="280" w:lineRule="exact"/>
              <w:rPr>
                <w:rFonts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val="en-US" w:eastAsia="zh-CN" w:bidi="ar"/>
              </w:rPr>
              <w:t>中共党员，全日制硕士研究生及以上学历，电工类专业，中级及以上专业技术资格，具有2年以上电力行业工作经历，35周岁及以下，拥护党的领导，热爱祖国，品行端正，身体健康，无违法违纪和不良从业记录。有电力交易、电力调度相关从业经历的优先。</w:t>
            </w:r>
          </w:p>
        </w:tc>
      </w:tr>
      <w:tr w14:paraId="6404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65" w:hRule="atLeast"/>
          <w:jc w:val="center"/>
        </w:trPr>
        <w:tc>
          <w:tcPr>
            <w:tcW w:w="902" w:type="dxa"/>
            <w:shd w:val="clear" w:color="auto" w:fill="FFFFFF"/>
            <w:tcMar>
              <w:top w:w="0" w:type="dxa"/>
              <w:left w:w="108" w:type="dxa"/>
              <w:bottom w:w="0" w:type="dxa"/>
              <w:right w:w="108" w:type="dxa"/>
            </w:tcMar>
            <w:vAlign w:val="center"/>
          </w:tcPr>
          <w:p w14:paraId="1288C782">
            <w:pPr>
              <w:widowControl/>
              <w:spacing w:line="28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bidi="ar"/>
              </w:rPr>
              <w:t>2</w:t>
            </w:r>
          </w:p>
        </w:tc>
        <w:tc>
          <w:tcPr>
            <w:tcW w:w="1512" w:type="dxa"/>
            <w:shd w:val="clear" w:color="auto" w:fill="FFFFFF"/>
            <w:tcMar>
              <w:top w:w="0" w:type="dxa"/>
              <w:left w:w="108" w:type="dxa"/>
              <w:bottom w:w="0" w:type="dxa"/>
              <w:right w:w="108" w:type="dxa"/>
            </w:tcMar>
            <w:vAlign w:val="center"/>
          </w:tcPr>
          <w:p w14:paraId="3667C21C">
            <w:pPr>
              <w:widowControl/>
              <w:spacing w:line="280" w:lineRule="exact"/>
              <w:ind w:firstLine="12"/>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bidi="ar"/>
              </w:rPr>
              <w:t>交易结算管理</w:t>
            </w:r>
          </w:p>
        </w:tc>
        <w:tc>
          <w:tcPr>
            <w:tcW w:w="819" w:type="dxa"/>
            <w:shd w:val="clear" w:color="auto" w:fill="FFFFFF"/>
            <w:tcMar>
              <w:top w:w="0" w:type="dxa"/>
              <w:left w:w="108" w:type="dxa"/>
              <w:bottom w:w="0" w:type="dxa"/>
              <w:right w:w="108" w:type="dxa"/>
            </w:tcMar>
            <w:vAlign w:val="center"/>
          </w:tcPr>
          <w:p w14:paraId="699C99DF">
            <w:pPr>
              <w:widowControl/>
              <w:spacing w:line="28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bidi="ar"/>
              </w:rPr>
              <w:t>1</w:t>
            </w:r>
          </w:p>
        </w:tc>
        <w:tc>
          <w:tcPr>
            <w:tcW w:w="5215" w:type="dxa"/>
            <w:shd w:val="clear" w:color="auto" w:fill="FFFFFF"/>
            <w:tcMar>
              <w:top w:w="0" w:type="dxa"/>
              <w:left w:w="108" w:type="dxa"/>
              <w:bottom w:w="0" w:type="dxa"/>
              <w:right w:w="108" w:type="dxa"/>
            </w:tcMar>
            <w:vAlign w:val="center"/>
          </w:tcPr>
          <w:p w14:paraId="4AB1D03D">
            <w:pPr>
              <w:widowControl/>
              <w:spacing w:line="280" w:lineRule="exact"/>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1.负责电力现货交易的电能、辅助服务等结算工作；</w:t>
            </w:r>
          </w:p>
          <w:p w14:paraId="6FC75113">
            <w:pPr>
              <w:widowControl/>
              <w:spacing w:line="280" w:lineRule="exact"/>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2.向发电企业、电力用户、售电公司和独立辅助服务提供者等各类市场主体出具电量电费结算凭据，提供相关服务；</w:t>
            </w:r>
          </w:p>
          <w:p w14:paraId="35D2DC3E">
            <w:pPr>
              <w:widowControl/>
              <w:spacing w:line="280" w:lineRule="exact"/>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3.负责环保电价、政策性资金结算；</w:t>
            </w:r>
          </w:p>
          <w:p w14:paraId="2435C8F8">
            <w:pPr>
              <w:widowControl/>
              <w:spacing w:line="280" w:lineRule="exact"/>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4.负责可再生能源消纳责任权重的统计、核算、监测，开展超额消纳量市场交易及输电权等交易结算；</w:t>
            </w:r>
          </w:p>
          <w:p w14:paraId="43C7018E">
            <w:pPr>
              <w:widowControl/>
              <w:spacing w:line="280" w:lineRule="exact"/>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5.负责标准化结算单、结算档案管理；</w:t>
            </w:r>
          </w:p>
          <w:p w14:paraId="71778449">
            <w:pPr>
              <w:widowControl/>
              <w:spacing w:line="280" w:lineRule="exact"/>
              <w:rPr>
                <w:rFonts w:ascii="方正仿宋_GBK" w:hAnsi="方正仿宋_GBK" w:eastAsia="方正仿宋_GBK" w:cs="方正仿宋_GBK"/>
                <w:sz w:val="21"/>
                <w:szCs w:val="21"/>
                <w:highlight w:val="yellow"/>
              </w:rPr>
            </w:pPr>
            <w:r>
              <w:rPr>
                <w:rFonts w:hint="eastAsia" w:ascii="方正仿宋_GBK" w:hAnsi="方正仿宋_GBK" w:eastAsia="方正仿宋_GBK" w:cs="方正仿宋_GBK"/>
                <w:sz w:val="21"/>
                <w:szCs w:val="21"/>
                <w:lang w:bidi="ar"/>
              </w:rPr>
              <w:t>6.参与发电企业上网关口设置和计量方法确定，制定计量数据接入标准。</w:t>
            </w:r>
          </w:p>
        </w:tc>
        <w:tc>
          <w:tcPr>
            <w:tcW w:w="4961" w:type="dxa"/>
            <w:shd w:val="clear" w:color="auto" w:fill="auto"/>
            <w:tcMar>
              <w:top w:w="0" w:type="dxa"/>
              <w:left w:w="108" w:type="dxa"/>
              <w:bottom w:w="0" w:type="dxa"/>
              <w:right w:w="108" w:type="dxa"/>
            </w:tcMar>
            <w:vAlign w:val="center"/>
          </w:tcPr>
          <w:p w14:paraId="5BEFEB34">
            <w:pPr>
              <w:widowControl/>
              <w:spacing w:line="280" w:lineRule="exact"/>
              <w:rPr>
                <w:rFonts w:hint="eastAsia" w:ascii="方正仿宋_GBK" w:hAnsi="方正仿宋_GBK" w:eastAsia="方正仿宋_GBK" w:cs="方正仿宋_GBK"/>
                <w:color w:val="C0504D"/>
                <w:sz w:val="21"/>
                <w:szCs w:val="21"/>
                <w:lang w:eastAsia="zh-CN"/>
              </w:rPr>
            </w:pPr>
            <w:r>
              <w:rPr>
                <w:rFonts w:hint="eastAsia" w:ascii="方正仿宋_GBK" w:hAnsi="方正仿宋_GBK" w:eastAsia="方正仿宋_GBK" w:cs="方正仿宋_GBK"/>
                <w:sz w:val="21"/>
                <w:szCs w:val="21"/>
                <w:lang w:bidi="ar"/>
              </w:rPr>
              <w:t>中共党员，全日制硕士研究生及以上学历，电工类专业，中级及以上专业技术资格，具有2年以上电力行业工作经历，35周岁</w:t>
            </w:r>
            <w:r>
              <w:rPr>
                <w:rFonts w:hint="eastAsia" w:ascii="方正仿宋_GBK" w:hAnsi="方正仿宋_GBK" w:eastAsia="方正仿宋_GBK" w:cs="方正仿宋_GBK"/>
                <w:sz w:val="21"/>
                <w:szCs w:val="21"/>
                <w:lang w:val="en-US" w:eastAsia="zh-CN" w:bidi="ar"/>
              </w:rPr>
              <w:t>及</w:t>
            </w:r>
            <w:r>
              <w:rPr>
                <w:rFonts w:hint="eastAsia" w:ascii="方正仿宋_GBK" w:hAnsi="方正仿宋_GBK" w:eastAsia="方正仿宋_GBK" w:cs="方正仿宋_GBK"/>
                <w:sz w:val="21"/>
                <w:szCs w:val="21"/>
                <w:lang w:bidi="ar"/>
              </w:rPr>
              <w:t>以下，拥护党的领导，热爱祖国，品行端正，身体健康，无违法违纪和不良从业记录。有电力交易、电力调度相关从业经历的优先</w:t>
            </w:r>
            <w:r>
              <w:rPr>
                <w:rFonts w:hint="eastAsia" w:ascii="方正仿宋_GBK" w:hAnsi="方正仿宋_GBK" w:eastAsia="方正仿宋_GBK" w:cs="方正仿宋_GBK"/>
                <w:sz w:val="21"/>
                <w:szCs w:val="21"/>
                <w:lang w:eastAsia="zh-CN" w:bidi="ar"/>
              </w:rPr>
              <w:t>。</w:t>
            </w:r>
          </w:p>
        </w:tc>
      </w:tr>
    </w:tbl>
    <w:p w14:paraId="0775BFA7">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68FA5B4-00EA-4C6D-BCB3-9945665131F7}"/>
  </w:font>
  <w:font w:name="方正仿宋_GBK">
    <w:panose1 w:val="02000000000000000000"/>
    <w:charset w:val="86"/>
    <w:family w:val="script"/>
    <w:pitch w:val="default"/>
    <w:sig w:usb0="00000001" w:usb1="080E0000" w:usb2="00000000" w:usb3="00000000" w:csb0="00040000" w:csb1="00000000"/>
    <w:embedRegular r:id="rId2" w:fontKey="{C4447ACA-3562-4EFA-85BD-F951E8B9FC03}"/>
  </w:font>
  <w:font w:name="方正黑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00000001" w:usb1="080E0000" w:usb2="00000000" w:usb3="00000000" w:csb0="00040000" w:csb1="00000000"/>
    <w:embedRegular r:id="rId3" w:fontKey="{5885EA5B-8C46-4B58-BA5C-37933DD500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61992"/>
    <w:rsid w:val="454C6F2E"/>
    <w:rsid w:val="66961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3"/>
    <w:next w:val="3"/>
    <w:qFormat/>
    <w:uiPriority w:val="0"/>
    <w:pPr>
      <w:spacing w:before="240" w:after="60"/>
      <w:outlineLvl w:val="0"/>
    </w:pPr>
    <w:rPr>
      <w:rFonts w:ascii="Arial" w:hAnsi="Arial" w:eastAsia="宋体" w:cs="Times New Roman"/>
      <w:b/>
      <w:kern w:val="2"/>
      <w:sz w:val="32"/>
      <w:szCs w:val="24"/>
    </w:rPr>
  </w:style>
  <w:style w:type="paragraph" w:styleId="3">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一级标题"/>
    <w:basedOn w:val="1"/>
    <w:uiPriority w:val="0"/>
    <w:pPr>
      <w:adjustRightInd w:val="0"/>
      <w:snapToGrid w:val="0"/>
      <w:spacing w:line="580" w:lineRule="exact"/>
      <w:ind w:firstLine="420" w:firstLineChars="200"/>
      <w:outlineLvl w:val="0"/>
    </w:pPr>
    <w:rPr>
      <w:rFonts w:hint="eastAsia" w:ascii="方正仿宋_GBK" w:hAnsi="方正仿宋_GBK" w:eastAsia="方正黑体_GBK" w:cs="方正仿宋_GBK"/>
      <w:b/>
      <w:bCs/>
      <w:color w:val="auto"/>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2025-02-17T01:35:00Z</dcterms:created>
  <dc:creator>Parasolll</dc:creator>
  <cp:lastModifiedBy>Parasolll</cp:lastModifiedBy>
  <dcterms:modified xsi:type="dcterms:W3CDTF">2025-02-17T01:35:27Z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4A1CFD8CB6FB40498D3DC47242732977_11</vt:lpwstr>
  </property>
  <property fmtid="{D5CDD505-2E9C-101B-9397-08002B2CF9AE}" pid="4" name="KSOTemplateDocerSaveRecord">
    <vt:lpwstr>eyJoZGlkIjoiM2Y2OWIxNDNhMWU3ODZkZTFlYjc3YzIxMjJhZDJhMjciLCJ1c2VySWQiOiIyNDI5MDY5NTEifQ==</vt:lpwstr>
  </property>
</Properties>
</file>