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72D7">
      <w:pPr>
        <w:rPr>
          <w:rFonts w:hint="default" w:ascii="Times New Roman" w:hAnsi="Times New Roman" w:eastAsia="方正仿宋_GBK" w:cs="Times New Roman"/>
          <w:b/>
          <w:bCs/>
          <w:sz w:val="32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28"/>
          <w:highlight w:val="none"/>
          <w:lang w:val="en-US" w:eastAsia="zh-CN"/>
        </w:rPr>
        <w:t>附件：</w:t>
      </w:r>
      <w:bookmarkStart w:id="0" w:name="_GoBack"/>
      <w:r>
        <w:rPr>
          <w:rFonts w:hint="default" w:ascii="Times New Roman" w:hAnsi="Times New Roman" w:eastAsia="方正仿宋_GBK" w:cs="Times New Roman"/>
          <w:b/>
          <w:bCs/>
          <w:sz w:val="32"/>
          <w:szCs w:val="28"/>
          <w:highlight w:val="none"/>
          <w:lang w:val="en-US" w:eastAsia="zh-CN"/>
        </w:rPr>
        <w:t>岗位简介表</w:t>
      </w:r>
    </w:p>
    <w:bookmarkEnd w:id="0"/>
    <w:p w14:paraId="7F542566">
      <w:pPr>
        <w:overflowPunct w:val="0"/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b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highlight w:val="none"/>
          <w:lang w:eastAsia="zh-CN"/>
        </w:rPr>
        <w:t>无锡惠山高新技术产业开发区开发建设有限公司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highlight w:val="none"/>
        </w:rPr>
        <w:t>公开招聘岗位</w:t>
      </w: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highlight w:val="none"/>
          <w:lang w:val="en-US" w:eastAsia="zh-CN"/>
        </w:rPr>
        <w:t>简介表</w:t>
      </w:r>
    </w:p>
    <w:tbl>
      <w:tblPr>
        <w:tblStyle w:val="4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44"/>
        <w:gridCol w:w="773"/>
        <w:gridCol w:w="2989"/>
        <w:gridCol w:w="1272"/>
        <w:gridCol w:w="1165"/>
        <w:gridCol w:w="1215"/>
        <w:gridCol w:w="1362"/>
        <w:gridCol w:w="3653"/>
      </w:tblGrid>
      <w:tr w14:paraId="6605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4474DD1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E4BE199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547DD0A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46679612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岗位职责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2489F0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年龄要求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D5CA434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215" w:type="dxa"/>
            <w:vAlign w:val="center"/>
          </w:tcPr>
          <w:p w14:paraId="4A9A2DD4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薪资待遇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86B0274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专业要求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2C846280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其他资格条件和说明</w:t>
            </w:r>
          </w:p>
        </w:tc>
      </w:tr>
      <w:tr w14:paraId="1921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3E3CD9E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9DB165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副总经理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48C6D8C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398ECC0">
            <w:pPr>
              <w:spacing w:line="240" w:lineRule="exact"/>
              <w:ind w:left="-42" w:leftChars="-20" w:right="-42" w:rightChars="-20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负责国有资产的运营管理等工作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6EB752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35-50周岁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2410D40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215" w:type="dxa"/>
            <w:vAlign w:val="center"/>
          </w:tcPr>
          <w:p w14:paraId="1634C1F6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30万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7E99E1A">
            <w:pPr>
              <w:spacing w:line="2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管理类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、经济类、财务财会类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7B0D668F">
            <w:pPr>
              <w:numPr>
                <w:ilvl w:val="0"/>
                <w:numId w:val="0"/>
              </w:numPr>
              <w:spacing w:line="240" w:lineRule="exact"/>
              <w:ind w:right="-42" w:rightChars="-20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1、中共党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员优先；</w:t>
            </w:r>
          </w:p>
          <w:p w14:paraId="17E071C8">
            <w:pPr>
              <w:numPr>
                <w:ilvl w:val="0"/>
                <w:numId w:val="0"/>
              </w:numPr>
              <w:spacing w:line="240" w:lineRule="exact"/>
              <w:ind w:right="-42" w:rightChars="-20"/>
              <w:rPr>
                <w:rFonts w:hint="eastAsia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10年以上资产管理相关工作经验，5年以上管理岗位工作经验，具有国有企业资产管理类工作经验者优先考虑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480CA08F">
            <w:pPr>
              <w:numPr>
                <w:ilvl w:val="0"/>
                <w:numId w:val="0"/>
              </w:numPr>
              <w:spacing w:line="240" w:lineRule="exact"/>
              <w:ind w:right="-42" w:rightChars="-20"/>
              <w:rPr>
                <w:rFonts w:hint="default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3、具备较强的组织协调能力、资源整合能力、执行能力及分析解决问题的能力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5DC4E807">
            <w:pPr>
              <w:numPr>
                <w:ilvl w:val="0"/>
                <w:numId w:val="0"/>
              </w:numPr>
              <w:spacing w:line="240" w:lineRule="exact"/>
              <w:ind w:right="-42" w:rightChars="-20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、持有经济类中级及以上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职称者优先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A2462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BAF9FB-0F5A-4687-AA76-6E67F9AC909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DBE2022-14A9-4F72-AD57-7CB767D92B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B4B1901-1B82-42C5-8077-0262D94680E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70CB34F-F94E-487F-8744-52A14F1FB7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2601F"/>
    <w:rsid w:val="3552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2025-03-04T02:07:00Z</dcterms:created>
  <dc:creator>酒乃</dc:creator>
  <cp:lastModifiedBy>酒乃</cp:lastModifiedBy>
  <dcterms:modified xsi:type="dcterms:W3CDTF">2025-03-04T02:07:38Z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73648545CD444BD9A6CE47E3425983F9_11</vt:lpwstr>
  </property>
  <property fmtid="{D5CDD505-2E9C-101B-9397-08002B2CF9AE}" pid="4" name="KSOTemplateDocerSaveRecord">
    <vt:lpwstr>eyJoZGlkIjoiN2ZkN2U0NTE2ZWZjNGNkOGYwMTY5ODIwZjEyYjUxNGMiLCJ1c2VySWQiOiI1MjUxNjc4NzIifQ==</vt:lpwstr>
  </property>
</Properties>
</file>