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DBE5" w14:textId="77777777" w:rsidR="00DB4AD9" w:rsidRDefault="00000000">
      <w:pPr>
        <w:spacing w:line="500" w:lineRule="exact"/>
        <w:rPr>
          <w:rFonts w:ascii="仿宋_GB2312" w:eastAsia="仿宋_GB2312" w:hAnsi="仿宋_GB2312" w:cs="仿宋_GB2312" w:hint="eastAsia"/>
          <w:sz w:val="28"/>
          <w:szCs w:val="28"/>
        </w:rPr>
      </w:pPr>
      <w:r>
        <w:rPr>
          <w:rFonts w:ascii="黑体" w:eastAsia="黑体" w:hAnsi="黑体" w:cs="黑体" w:hint="eastAsia"/>
          <w:spacing w:val="-6"/>
          <w:sz w:val="28"/>
          <w:szCs w:val="28"/>
        </w:rPr>
        <w:t>附件2</w:t>
      </w:r>
    </w:p>
    <w:p w14:paraId="5BD30B61" w14:textId="77777777" w:rsidR="00DB4AD9" w:rsidRDefault="00000000">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53953BFA" w14:textId="77777777" w:rsidR="00DB4AD9" w:rsidRDefault="00DB4AD9">
      <w:pPr>
        <w:spacing w:line="500" w:lineRule="exact"/>
        <w:ind w:firstLineChars="200" w:firstLine="560"/>
        <w:rPr>
          <w:rFonts w:ascii="黑体" w:eastAsia="黑体" w:hAnsi="黑体" w:cs="黑体" w:hint="eastAsia"/>
          <w:sz w:val="28"/>
          <w:szCs w:val="28"/>
        </w:rPr>
      </w:pPr>
    </w:p>
    <w:p w14:paraId="3A6DECC5"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0A404178"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1675A8"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除2025年高校应届毕业生外，其他应聘人员务必在“备注”栏目内注明所取得的教师资格证的资格种类（学段）及任教学科，如：高级中学语文教师资格证、中等职业学校语文教师资格证、初级中学语文教师资格证、小学语文教师资格证等。</w:t>
      </w:r>
      <w:r>
        <w:rPr>
          <w:rFonts w:ascii="仿宋_GB2312" w:eastAsia="仿宋_GB2312" w:hAnsi="仿宋_GB2312" w:cs="仿宋_GB2312"/>
          <w:sz w:val="28"/>
          <w:szCs w:val="28"/>
        </w:rPr>
        <w:t>暂未取得</w:t>
      </w:r>
      <w:r>
        <w:rPr>
          <w:rFonts w:ascii="仿宋_GB2312" w:eastAsia="仿宋_GB2312" w:hAnsi="仿宋_GB2312" w:cs="仿宋_GB2312" w:hint="eastAsia"/>
          <w:sz w:val="28"/>
          <w:szCs w:val="28"/>
        </w:rPr>
        <w:t>教师资格证</w:t>
      </w:r>
      <w:r>
        <w:rPr>
          <w:rFonts w:ascii="仿宋_GB2312" w:eastAsia="仿宋_GB2312" w:hAnsi="仿宋_GB2312" w:cs="仿宋_GB2312"/>
          <w:sz w:val="28"/>
          <w:szCs w:val="28"/>
        </w:rPr>
        <w:t>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在面试资格复审</w:t>
      </w:r>
      <w:r>
        <w:rPr>
          <w:rFonts w:ascii="仿宋_GB2312" w:eastAsia="仿宋_GB2312" w:hAnsi="仿宋_GB2312" w:cs="仿宋_GB2312"/>
          <w:sz w:val="28"/>
          <w:szCs w:val="28"/>
        </w:rPr>
        <w:t>前取得证书</w:t>
      </w: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含教师</w:t>
      </w:r>
      <w:proofErr w:type="gramEnd"/>
      <w:r>
        <w:rPr>
          <w:rFonts w:ascii="仿宋_GB2312" w:eastAsia="仿宋_GB2312" w:hAnsi="仿宋_GB2312" w:cs="仿宋_GB2312" w:hint="eastAsia"/>
          <w:sz w:val="28"/>
          <w:szCs w:val="28"/>
        </w:rPr>
        <w:t>资格证书认定机构开具的</w:t>
      </w:r>
      <w:proofErr w:type="gramStart"/>
      <w:r>
        <w:rPr>
          <w:rFonts w:ascii="仿宋_GB2312" w:eastAsia="仿宋_GB2312" w:hAnsi="仿宋_GB2312" w:cs="仿宋_GB2312" w:hint="eastAsia"/>
          <w:sz w:val="28"/>
          <w:szCs w:val="28"/>
        </w:rPr>
        <w:t>加盖鲜章的</w:t>
      </w:r>
      <w:proofErr w:type="gramEnd"/>
      <w:r>
        <w:rPr>
          <w:rFonts w:ascii="仿宋_GB2312" w:eastAsia="仿宋_GB2312" w:hAnsi="仿宋_GB2312" w:cs="仿宋_GB2312" w:hint="eastAsia"/>
          <w:sz w:val="28"/>
          <w:szCs w:val="28"/>
        </w:rPr>
        <w:t>证书待办的证明材料）</w:t>
      </w:r>
      <w:r>
        <w:rPr>
          <w:rFonts w:ascii="仿宋_GB2312" w:eastAsia="仿宋_GB2312" w:hAnsi="仿宋_GB2312" w:cs="仿宋_GB2312"/>
          <w:sz w:val="28"/>
          <w:szCs w:val="28"/>
        </w:rPr>
        <w:t>的承诺，未如期取得，本人承担相应后果。</w:t>
      </w:r>
      <w:r>
        <w:rPr>
          <w:rFonts w:ascii="仿宋_GB2312" w:eastAsia="仿宋_GB2312" w:hAnsi="仿宋_GB2312" w:cs="仿宋_GB2312" w:hint="eastAsia"/>
          <w:sz w:val="28"/>
          <w:szCs w:val="28"/>
        </w:rPr>
        <w:t>报考小学语文3、小学数学2的应聘人员，需在“备注”栏目内填报其他条件中须具备条件，如：区县优秀教师、区县骨干教师等或区县语文（数学）说课、</w:t>
      </w:r>
      <w:proofErr w:type="gramStart"/>
      <w:r>
        <w:rPr>
          <w:rFonts w:ascii="仿宋_GB2312" w:eastAsia="仿宋_GB2312" w:hAnsi="仿宋_GB2312" w:cs="仿宋_GB2312" w:hint="eastAsia"/>
          <w:sz w:val="28"/>
          <w:szCs w:val="28"/>
        </w:rPr>
        <w:t>赛课二等奖</w:t>
      </w:r>
      <w:proofErr w:type="gramEnd"/>
      <w:r>
        <w:rPr>
          <w:rFonts w:ascii="仿宋_GB2312" w:eastAsia="仿宋_GB2312" w:hAnsi="仿宋_GB2312" w:cs="仿宋_GB2312" w:hint="eastAsia"/>
          <w:sz w:val="28"/>
          <w:szCs w:val="28"/>
        </w:rPr>
        <w:t>等。</w:t>
      </w:r>
    </w:p>
    <w:p w14:paraId="0111CADC"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35ADF823"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5364563"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二、专业如何认定？</w:t>
      </w:r>
    </w:p>
    <w:p w14:paraId="4CA73DC2"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应聘人员本人的有效学历毕业证、学位证及其所载学历和专业名称（指主修专业，不含辅修专业</w:t>
      </w:r>
      <w:proofErr w:type="gramStart"/>
      <w:r>
        <w:rPr>
          <w:rFonts w:ascii="仿宋_GB2312" w:eastAsia="仿宋_GB2312" w:hAnsi="仿宋_GB2312" w:cs="仿宋_GB2312" w:hint="eastAsia"/>
          <w:sz w:val="28"/>
          <w:szCs w:val="28"/>
        </w:rPr>
        <w:t>或辅修学位</w:t>
      </w:r>
      <w:proofErr w:type="gramEnd"/>
      <w:r>
        <w:rPr>
          <w:rFonts w:ascii="仿宋_GB2312" w:eastAsia="仿宋_GB2312" w:hAnsi="仿宋_GB2312" w:cs="仿宋_GB2312" w:hint="eastAsia"/>
          <w:sz w:val="28"/>
          <w:szCs w:val="28"/>
        </w:rPr>
        <w:t>专业相关证书）、教师资格证书等，应与招聘岗位条件要求相符，不符者请勿报名。如发现不符合报考条件、弄虚作假或故意隐瞒真实情况者，将随时取消考试或聘用资格，所造成的一切后果由应聘人员本人承担。</w:t>
      </w:r>
    </w:p>
    <w:p w14:paraId="74E8B410"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招聘岗位在大学本科、研究生</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个教育层次分别明确了学科专业名称及代码。应聘人员符合其中一个教育层次的专业要求即可应聘该岗位，招聘岗位另有要求的，须符合其要求。岗位专业要求为“不限”的，即应聘人员在该教育层次的任何专业均符合要求。</w:t>
      </w:r>
    </w:p>
    <w:p w14:paraId="5253CAEE"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专业要求中的本科、研究生专业参考目录为教育部印发的《国家普通高等学校本科专业目录》《研究生教育学科专业目录》。留学归国人员应持国家教育部留学服务中心认证学历、学位参加资格审查。</w:t>
      </w:r>
    </w:p>
    <w:p w14:paraId="1B97A7ED"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对于专业目录中没有的国（境）外专业，应聘人员在报名时需在</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备注</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栏中注明主要课程、研究方向和学习内容等情况，必要时可主动联系招聘单位介绍有关情况，</w:t>
      </w:r>
      <w:r>
        <w:rPr>
          <w:rFonts w:ascii="仿宋_GB2312" w:eastAsia="仿宋_GB2312" w:hAnsi="仿宋_GB2312" w:cs="仿宋_GB2312" w:hint="eastAsia"/>
          <w:sz w:val="28"/>
          <w:szCs w:val="28"/>
        </w:rPr>
        <w:t>提供</w:t>
      </w:r>
      <w:r>
        <w:rPr>
          <w:rFonts w:ascii="仿宋_GB2312" w:eastAsia="仿宋_GB2312" w:hAnsi="仿宋_GB2312" w:cs="仿宋_GB2312"/>
          <w:sz w:val="28"/>
          <w:szCs w:val="28"/>
        </w:rPr>
        <w:t>所学</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课程、研究方向</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相关高校或省</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以上相关科研机构等第三方</w:t>
      </w:r>
      <w:r>
        <w:rPr>
          <w:rFonts w:ascii="仿宋_GB2312" w:eastAsia="仿宋_GB2312" w:hAnsi="仿宋_GB2312" w:cs="仿宋_GB2312" w:hint="eastAsia"/>
          <w:sz w:val="28"/>
          <w:szCs w:val="28"/>
        </w:rPr>
        <w:t>的专业认定证明材料,</w:t>
      </w:r>
      <w:r>
        <w:rPr>
          <w:rFonts w:ascii="仿宋_GB2312" w:eastAsia="仿宋_GB2312" w:hAnsi="仿宋_GB2312" w:cs="仿宋_GB2312"/>
          <w:sz w:val="28"/>
          <w:szCs w:val="28"/>
        </w:rPr>
        <w:t>由招聘单位或者其主管部门（单位）对其留学所学专业进行认定，认定为相似专业的视为专业条件合格。</w:t>
      </w:r>
    </w:p>
    <w:p w14:paraId="3564B9D7"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58F115A4" w14:textId="77777777" w:rsidR="00DB4AD9" w:rsidRDefault="00000000">
      <w:pPr>
        <w:spacing w:line="500" w:lineRule="exact"/>
        <w:ind w:firstLineChars="200" w:firstLine="420"/>
        <w:rPr>
          <w:rFonts w:ascii="仿宋_GB2312" w:eastAsia="仿宋_GB2312" w:hAnsi="仿宋_GB2312" w:cs="仿宋_GB2312" w:hint="eastAsia"/>
          <w:sz w:val="28"/>
          <w:szCs w:val="28"/>
        </w:rPr>
      </w:pPr>
      <w:r>
        <w:rPr>
          <w:rFonts w:hint="eastAsia"/>
        </w:rPr>
        <w:t xml:space="preserve">  </w:t>
      </w: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w:t>
      </w:r>
      <w:r>
        <w:rPr>
          <w:rFonts w:ascii="仿宋_GB2312" w:eastAsia="仿宋_GB2312" w:hAnsi="仿宋_GB2312" w:cs="仿宋_GB2312"/>
          <w:sz w:val="28"/>
          <w:szCs w:val="28"/>
        </w:rPr>
        <w:lastRenderedPageBreak/>
        <w:t>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w:t>
      </w:r>
      <w:r>
        <w:rPr>
          <w:rFonts w:ascii="仿宋_GB2312" w:eastAsia="仿宋_GB2312" w:hAnsi="仿宋_GB2312" w:cs="仿宋_GB2312"/>
          <w:sz w:val="28"/>
          <w:szCs w:val="28"/>
        </w:rPr>
        <w:t>。</w:t>
      </w:r>
    </w:p>
    <w:p w14:paraId="6E26C984"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w:t>
      </w:r>
      <w:r>
        <w:rPr>
          <w:rFonts w:ascii="黑体" w:eastAsia="黑体" w:hAnsi="黑体" w:cs="黑体"/>
          <w:sz w:val="28"/>
          <w:szCs w:val="28"/>
        </w:rPr>
        <w:t>、本次招聘中要求的有效身份证件指的是什么？</w:t>
      </w:r>
    </w:p>
    <w:p w14:paraId="2C1B0601"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459E0CCC"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59E65470"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w:t>
      </w:r>
      <w:r>
        <w:rPr>
          <w:rFonts w:ascii="黑体" w:eastAsia="黑体" w:hAnsi="黑体" w:cs="黑体"/>
          <w:sz w:val="28"/>
          <w:szCs w:val="28"/>
        </w:rPr>
        <w:t>、本次招聘中政策性加分如何办理？</w:t>
      </w:r>
    </w:p>
    <w:p w14:paraId="59260679"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〔2012〕406号）《关于退役大学生士兵报考事业单位享受有关加分政策答复意见的通知》（川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w:t>
      </w:r>
      <w:r>
        <w:rPr>
          <w:rFonts w:ascii="仿宋_GB2312" w:eastAsia="仿宋_GB2312" w:hAnsi="仿宋_GB2312" w:cs="仿宋_GB2312" w:hint="eastAsia"/>
          <w:sz w:val="28"/>
          <w:szCs w:val="28"/>
        </w:rPr>
        <w:lastRenderedPageBreak/>
        <w:t>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28"/>
          <w:szCs w:val="28"/>
        </w:rPr>
        <w:t>人教函〔2022〕</w:t>
      </w:r>
      <w:proofErr w:type="gramEnd"/>
      <w:r>
        <w:rPr>
          <w:rFonts w:ascii="仿宋_GB2312" w:eastAsia="仿宋_GB2312" w:hAnsi="仿宋_GB2312" w:cs="仿宋_GB2312" w:hint="eastAsia"/>
          <w:sz w:val="28"/>
          <w:szCs w:val="28"/>
        </w:rPr>
        <w:t>84号）等规定执行相关加分。</w:t>
      </w:r>
    </w:p>
    <w:p w14:paraId="6B2094A9"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14:paraId="2AB6748A"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符合加分政策规定的应聘人员需提供以下材料：</w:t>
      </w:r>
    </w:p>
    <w:p w14:paraId="3AB62BA9"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1.“大学生志愿服务西部计划”“三支一扶计划</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hint="eastAsia"/>
        </w:rPr>
        <w:t xml:space="preserve"> </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w:t>
      </w:r>
      <w:r>
        <w:rPr>
          <w:rFonts w:ascii="仿宋_GB2312" w:eastAsia="仿宋_GB2312" w:hAnsi="仿宋_GB2312" w:cs="仿宋_GB2312" w:hint="eastAsia"/>
          <w:sz w:val="28"/>
          <w:szCs w:val="28"/>
        </w:rPr>
        <w:t>《应聘资格审查表》（登录成都人事考试网自行打印）、《居民身份证》、</w:t>
      </w:r>
      <w:r>
        <w:rPr>
          <w:rFonts w:ascii="仿宋_GB2312" w:eastAsia="仿宋_GB2312" w:hAnsi="仿宋_GB2312" w:cs="仿宋_GB2312"/>
          <w:sz w:val="28"/>
          <w:szCs w:val="28"/>
        </w:rPr>
        <w:t>服务所在地县以上团委（或</w:t>
      </w:r>
      <w:proofErr w:type="gramStart"/>
      <w:r>
        <w:rPr>
          <w:rFonts w:ascii="仿宋_GB2312" w:eastAsia="仿宋_GB2312" w:hAnsi="仿宋_GB2312" w:cs="仿宋_GB2312"/>
          <w:sz w:val="28"/>
          <w:szCs w:val="28"/>
        </w:rPr>
        <w:t>人社局</w:t>
      </w:r>
      <w:proofErr w:type="gramEnd"/>
      <w:r>
        <w:rPr>
          <w:rFonts w:ascii="仿宋_GB2312" w:eastAsia="仿宋_GB2312" w:hAnsi="仿宋_GB2312" w:cs="仿宋_GB2312"/>
          <w:sz w:val="28"/>
          <w:szCs w:val="28"/>
        </w:rPr>
        <w:t>、教育局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）出具的证明（内容包括确为志愿者、所属项目计划、服务的单位、协议服务期的年限、服务期是否已满、考核结果、未被机关或事业单位录（聘）用</w:t>
      </w:r>
      <w:r>
        <w:rPr>
          <w:rFonts w:ascii="仿宋_GB2312" w:eastAsia="仿宋_GB2312" w:hAnsi="仿宋_GB2312" w:cs="仿宋_GB2312" w:hint="eastAsia"/>
          <w:sz w:val="28"/>
          <w:szCs w:val="28"/>
        </w:rPr>
        <w:t>、未享受过招</w:t>
      </w:r>
      <w:proofErr w:type="gramStart"/>
      <w:r>
        <w:rPr>
          <w:rFonts w:ascii="仿宋_GB2312" w:eastAsia="仿宋_GB2312" w:hAnsi="仿宋_GB2312" w:cs="仿宋_GB2312" w:hint="eastAsia"/>
          <w:sz w:val="28"/>
          <w:szCs w:val="28"/>
        </w:rPr>
        <w:t>录优惠</w:t>
      </w:r>
      <w:proofErr w:type="gramEnd"/>
      <w:r>
        <w:rPr>
          <w:rFonts w:ascii="仿宋_GB2312" w:eastAsia="仿宋_GB2312" w:hAnsi="仿宋_GB2312" w:cs="仿宋_GB2312" w:hint="eastAsia"/>
          <w:sz w:val="28"/>
          <w:szCs w:val="28"/>
        </w:rPr>
        <w:t>政策</w:t>
      </w:r>
      <w:r>
        <w:rPr>
          <w:rFonts w:ascii="仿宋_GB2312" w:eastAsia="仿宋_GB2312" w:hAnsi="仿宋_GB2312" w:cs="仿宋_GB2312"/>
          <w:sz w:val="28"/>
          <w:szCs w:val="28"/>
        </w:rPr>
        <w:t>）、考核材料、服务合同（协议）和服务证书等材料原件及复印件。</w:t>
      </w:r>
    </w:p>
    <w:p w14:paraId="3A31B82E"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2.申请加分的退役大学生士兵，须提供</w:t>
      </w:r>
      <w:r>
        <w:rPr>
          <w:rFonts w:ascii="仿宋_GB2312" w:eastAsia="仿宋_GB2312" w:hAnsi="仿宋_GB2312" w:cs="仿宋_GB2312" w:hint="eastAsia"/>
          <w:sz w:val="28"/>
          <w:szCs w:val="28"/>
        </w:rPr>
        <w:t>《应聘资格审查表》（登录成都人事考试网自行打印）、《居民身份证》、</w:t>
      </w:r>
      <w:r>
        <w:rPr>
          <w:rFonts w:ascii="仿宋_GB2312" w:eastAsia="仿宋_GB2312" w:hAnsi="仿宋_GB2312" w:cs="仿宋_GB2312"/>
          <w:sz w:val="28"/>
          <w:szCs w:val="28"/>
        </w:rPr>
        <w:t>本人有效的《退出现役证》、《优秀士兵证》《优秀士官证》《优秀义务兵证》《优秀学员证》等有关奖励证书（证章）和毕业证</w:t>
      </w:r>
      <w:r>
        <w:rPr>
          <w:rFonts w:ascii="仿宋_GB2312" w:eastAsia="仿宋_GB2312" w:hAnsi="仿宋_GB2312" w:cs="仿宋_GB2312" w:hint="eastAsia"/>
          <w:sz w:val="28"/>
          <w:szCs w:val="28"/>
        </w:rPr>
        <w:t>（大学生身份参军入伍证明材料）</w:t>
      </w:r>
      <w:r>
        <w:rPr>
          <w:rFonts w:ascii="仿宋_GB2312" w:eastAsia="仿宋_GB2312" w:hAnsi="仿宋_GB2312" w:cs="仿宋_GB2312"/>
          <w:sz w:val="28"/>
          <w:szCs w:val="28"/>
        </w:rPr>
        <w:t>等材料原件及复印件。</w:t>
      </w:r>
    </w:p>
    <w:p w14:paraId="0ACF4F7A"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机关事业单位在编人员以及从机关事业单位辞职、辞退、辞聘、解聘等人员，不享受加分政策。</w:t>
      </w:r>
    </w:p>
    <w:p w14:paraId="36735E24"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w:t>
      </w:r>
      <w:r>
        <w:rPr>
          <w:rFonts w:ascii="黑体" w:eastAsia="黑体" w:hAnsi="黑体" w:cs="黑体"/>
          <w:sz w:val="28"/>
          <w:szCs w:val="28"/>
        </w:rPr>
        <w:t>、</w:t>
      </w:r>
      <w:r>
        <w:rPr>
          <w:rFonts w:ascii="黑体" w:eastAsia="黑体" w:hAnsi="黑体" w:cs="黑体" w:hint="eastAsia"/>
          <w:sz w:val="28"/>
          <w:szCs w:val="28"/>
        </w:rPr>
        <w:t>资格复审时</w:t>
      </w:r>
      <w:r>
        <w:rPr>
          <w:rFonts w:ascii="黑体" w:eastAsia="黑体" w:hAnsi="黑体" w:cs="黑体"/>
          <w:sz w:val="28"/>
          <w:szCs w:val="28"/>
        </w:rPr>
        <w:t>需提供哪些材料？</w:t>
      </w:r>
    </w:p>
    <w:p w14:paraId="5B1D0912"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1.本人有效身份证原件及复印件；</w:t>
      </w:r>
    </w:p>
    <w:p w14:paraId="08919E65"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2.《应聘资格审查表》（登录成都人事考试网自行打印）；</w:t>
      </w:r>
    </w:p>
    <w:p w14:paraId="4B63AE08"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3.往届生提供学历毕业证、学位证、教师资格证原件（</w:t>
      </w:r>
      <w:proofErr w:type="gramStart"/>
      <w:r>
        <w:rPr>
          <w:rFonts w:ascii="仿宋_GB2312" w:eastAsia="仿宋_GB2312" w:hAnsi="仿宋_GB2312" w:cs="仿宋_GB2312" w:hint="eastAsia"/>
          <w:sz w:val="28"/>
          <w:szCs w:val="28"/>
        </w:rPr>
        <w:t>含教师</w:t>
      </w:r>
      <w:proofErr w:type="gramEnd"/>
      <w:r>
        <w:rPr>
          <w:rFonts w:ascii="仿宋_GB2312" w:eastAsia="仿宋_GB2312" w:hAnsi="仿宋_GB2312" w:cs="仿宋_GB2312" w:hint="eastAsia"/>
          <w:sz w:val="28"/>
          <w:szCs w:val="28"/>
        </w:rPr>
        <w:t>资格证</w:t>
      </w:r>
      <w:r>
        <w:rPr>
          <w:rFonts w:ascii="仿宋_GB2312" w:eastAsia="仿宋_GB2312" w:hAnsi="仿宋_GB2312" w:cs="仿宋_GB2312" w:hint="eastAsia"/>
          <w:sz w:val="28"/>
          <w:szCs w:val="28"/>
        </w:rPr>
        <w:lastRenderedPageBreak/>
        <w:t>书认定机构开具的</w:t>
      </w:r>
      <w:proofErr w:type="gramStart"/>
      <w:r>
        <w:rPr>
          <w:rFonts w:ascii="仿宋_GB2312" w:eastAsia="仿宋_GB2312" w:hAnsi="仿宋_GB2312" w:cs="仿宋_GB2312" w:hint="eastAsia"/>
          <w:sz w:val="28"/>
          <w:szCs w:val="28"/>
        </w:rPr>
        <w:t>加盖鲜章的</w:t>
      </w:r>
      <w:proofErr w:type="gramEnd"/>
      <w:r>
        <w:rPr>
          <w:rFonts w:ascii="仿宋_GB2312" w:eastAsia="仿宋_GB2312" w:hAnsi="仿宋_GB2312" w:cs="仿宋_GB2312" w:hint="eastAsia"/>
          <w:sz w:val="28"/>
          <w:szCs w:val="28"/>
        </w:rPr>
        <w:t>证书待办的证明材料）及复印件；</w:t>
      </w:r>
    </w:p>
    <w:p w14:paraId="3B35E634"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4.2025年高校应届毕业生提供加盖</w:t>
      </w:r>
      <w:proofErr w:type="gramStart"/>
      <w:r>
        <w:rPr>
          <w:rFonts w:ascii="仿宋_GB2312" w:eastAsia="仿宋_GB2312" w:hAnsi="仿宋_GB2312" w:cs="仿宋_GB2312" w:hint="eastAsia"/>
          <w:sz w:val="28"/>
          <w:szCs w:val="28"/>
        </w:rPr>
        <w:t>学校鲜章的</w:t>
      </w:r>
      <w:proofErr w:type="gramEnd"/>
      <w:r>
        <w:rPr>
          <w:rFonts w:ascii="仿宋_GB2312" w:eastAsia="仿宋_GB2312" w:hAnsi="仿宋_GB2312" w:cs="仿宋_GB2312" w:hint="eastAsia"/>
          <w:sz w:val="28"/>
          <w:szCs w:val="28"/>
        </w:rPr>
        <w:t>成绩单及就业推荐表（且须在2025年7月31日前交验学历毕业证、学位证、教师资格证等报名资格条件要求的证件，未按要求交验的，不予进入下一个招聘环节或不予聘用，视为自动放弃）；</w:t>
      </w:r>
    </w:p>
    <w:p w14:paraId="68527E18"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 国外、境外留学人员报考的，出具教育部相关国（境）外学历学位认证书原件及复印件；</w:t>
      </w:r>
    </w:p>
    <w:p w14:paraId="606B2B20"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6.报考岗位要求的其他原件和复印件；</w:t>
      </w:r>
    </w:p>
    <w:p w14:paraId="7B2FC421"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7.近期免冠一寸彩照两张。</w:t>
      </w:r>
    </w:p>
    <w:p w14:paraId="719F8D00"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14:paraId="18D43674"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26E3289"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B696884"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13AE94C4"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14:paraId="420CFB7A"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2.办理地点：成都市人事考试中心（成都市青羊区清江东路118号3号楼一楼报名大厅，联系电话：028-61802812，028-61802797）。</w:t>
      </w:r>
    </w:p>
    <w:p w14:paraId="4C8C99C6"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3.办理时间：2025年4月11日-4月15日（工作日每日09:00-17:00），</w:t>
      </w:r>
      <w:r>
        <w:rPr>
          <w:rFonts w:ascii="仿宋_GB2312" w:eastAsia="仿宋_GB2312" w:hAnsi="仿宋_GB2312" w:cs="仿宋_GB2312" w:hint="eastAsia"/>
          <w:sz w:val="28"/>
          <w:szCs w:val="28"/>
        </w:rPr>
        <w:lastRenderedPageBreak/>
        <w:t>15日17:00以后提交材料或者提供材料不符合相关要求的不做减免处理。</w:t>
      </w:r>
    </w:p>
    <w:p w14:paraId="587E45DE"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4.所需材料：</w:t>
      </w:r>
    </w:p>
    <w:p w14:paraId="28DF9251"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137E7D3"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10228ECC"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5B0769C"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5.办理程序：</w:t>
      </w:r>
    </w:p>
    <w:p w14:paraId="77ABA26D" w14:textId="7E647DC5"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sidR="00826621" w:rsidRPr="00826621">
        <w:rPr>
          <w:rFonts w:ascii="仿宋_GB2312" w:eastAsia="仿宋_GB2312" w:hAnsi="仿宋_GB2312" w:cs="仿宋_GB2312"/>
          <w:sz w:val="28"/>
          <w:szCs w:val="28"/>
        </w:rPr>
        <w:t>首先在网上完成报名</w:t>
      </w:r>
      <w:r w:rsidR="00826621" w:rsidRPr="00826621">
        <w:rPr>
          <w:rFonts w:ascii="仿宋_GB2312" w:eastAsia="仿宋_GB2312" w:hAnsi="仿宋_GB2312" w:cs="仿宋_GB2312" w:hint="eastAsia"/>
          <w:sz w:val="28"/>
          <w:szCs w:val="28"/>
        </w:rPr>
        <w:t>并缴纳</w:t>
      </w:r>
      <w:r w:rsidR="00826621" w:rsidRPr="00826621">
        <w:rPr>
          <w:rFonts w:ascii="仿宋_GB2312" w:eastAsia="仿宋_GB2312" w:hAnsi="仿宋_GB2312" w:cs="仿宋_GB2312"/>
          <w:sz w:val="28"/>
          <w:szCs w:val="28"/>
        </w:rPr>
        <w:t>报名费用，</w:t>
      </w:r>
      <w:r w:rsidR="00826621" w:rsidRPr="00826621">
        <w:rPr>
          <w:rFonts w:ascii="仿宋_GB2312" w:eastAsia="仿宋_GB2312" w:hAnsi="仿宋_GB2312" w:cs="仿宋_GB2312" w:hint="eastAsia"/>
          <w:sz w:val="28"/>
          <w:szCs w:val="28"/>
        </w:rPr>
        <w:t>申请减免</w:t>
      </w:r>
      <w:r w:rsidR="00826621" w:rsidRPr="00826621">
        <w:rPr>
          <w:rFonts w:ascii="仿宋_GB2312" w:eastAsia="仿宋_GB2312" w:hAnsi="仿宋_GB2312" w:cs="仿宋_GB2312"/>
          <w:sz w:val="28"/>
          <w:szCs w:val="28"/>
        </w:rPr>
        <w:t>通过后予以退费。</w:t>
      </w:r>
    </w:p>
    <w:p w14:paraId="4E517409"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（2）报考人员可到现场办理减免报考费用的手续。不方便到现场办理的人员，须拨打联系电话（028-61802797），通过传真或邮箱上传减免所需材料，经审核确认后办理减免手续。</w:t>
      </w:r>
    </w:p>
    <w:p w14:paraId="6853B85A" w14:textId="77777777" w:rsidR="00DB4AD9"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八、其他</w:t>
      </w:r>
    </w:p>
    <w:p w14:paraId="72B664A8" w14:textId="77777777" w:rsidR="00DB4AD9"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14:paraId="4CC14A65" w14:textId="77777777" w:rsidR="00DB4AD9" w:rsidRDefault="00DB4AD9">
      <w:pPr>
        <w:spacing w:line="570" w:lineRule="exact"/>
        <w:ind w:firstLineChars="200" w:firstLine="640"/>
        <w:rPr>
          <w:rFonts w:ascii="Times New Roman" w:eastAsia="方正仿宋_GB2312" w:hAnsi="Times New Roman"/>
          <w:snapToGrid w:val="0"/>
          <w:kern w:val="0"/>
          <w:sz w:val="32"/>
          <w:szCs w:val="32"/>
        </w:rPr>
      </w:pPr>
    </w:p>
    <w:p w14:paraId="53F1B539" w14:textId="77777777" w:rsidR="00DB4AD9" w:rsidRDefault="00DB4AD9">
      <w:pPr>
        <w:spacing w:line="570" w:lineRule="exact"/>
        <w:ind w:firstLineChars="1500" w:firstLine="4800"/>
        <w:rPr>
          <w:rFonts w:ascii="Times New Roman" w:eastAsia="方正仿宋_GB2312" w:hAnsi="Times New Roman"/>
          <w:snapToGrid w:val="0"/>
          <w:kern w:val="0"/>
          <w:sz w:val="32"/>
          <w:szCs w:val="32"/>
        </w:rPr>
      </w:pPr>
    </w:p>
    <w:p w14:paraId="5A949DCD" w14:textId="77777777" w:rsidR="00DB4AD9" w:rsidRDefault="00DB4AD9">
      <w:pPr>
        <w:ind w:firstLine="453"/>
      </w:pPr>
    </w:p>
    <w:p w14:paraId="537A0C25" w14:textId="77777777" w:rsidR="00DB4AD9" w:rsidRDefault="00DB4AD9"/>
    <w:sectPr w:rsidR="00DB4AD9">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3C6A" w14:textId="77777777" w:rsidR="00426E9A" w:rsidRDefault="00426E9A">
      <w:r>
        <w:separator/>
      </w:r>
    </w:p>
  </w:endnote>
  <w:endnote w:type="continuationSeparator" w:id="0">
    <w:p w14:paraId="08007922" w14:textId="77777777" w:rsidR="00426E9A" w:rsidRDefault="0042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B5CA" w14:textId="77777777" w:rsidR="00DB4AD9" w:rsidRDefault="00000000">
    <w:pPr>
      <w:pStyle w:val="a4"/>
    </w:pPr>
    <w:r>
      <w:pict w14:anchorId="6BB1283C">
        <v:shapetype id="_x0000_t202" coordsize="21600,21600" o:spt="202" path="m,l,21600r21600,l21600,xe">
          <v:stroke joinstyle="miter"/>
          <v:path gradientshapeok="t" o:connecttype="rect"/>
        </v:shapetype>
        <v:shape id="文本框 2" o:spid="_x0000_s1025"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14:paraId="5B15A504" w14:textId="77777777" w:rsidR="00DB4AD9" w:rsidRDefault="00000000">
                <w:pPr>
                  <w:pStyle w:val="a4"/>
                </w:pPr>
                <w:r>
                  <w:fldChar w:fldCharType="begin"/>
                </w:r>
                <w:r>
                  <w:instrText xml:space="preserve"> PAGE  \* MERGEFORMAT </w:instrText>
                </w:r>
                <w:r>
                  <w:fldChar w:fldCharType="separate"/>
                </w:r>
                <w:r>
                  <w:t>18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0A6F" w14:textId="77777777" w:rsidR="00426E9A" w:rsidRDefault="00426E9A">
      <w:r>
        <w:separator/>
      </w:r>
    </w:p>
  </w:footnote>
  <w:footnote w:type="continuationSeparator" w:id="0">
    <w:p w14:paraId="5DAF1DF1" w14:textId="77777777" w:rsidR="00426E9A" w:rsidRDefault="0042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6EE1"/>
    <w:rsid w:val="00106E6E"/>
    <w:rsid w:val="00396EE1"/>
    <w:rsid w:val="003A2289"/>
    <w:rsid w:val="00426E9A"/>
    <w:rsid w:val="00446DFF"/>
    <w:rsid w:val="00826621"/>
    <w:rsid w:val="009B5F15"/>
    <w:rsid w:val="00C45E12"/>
    <w:rsid w:val="00DB4AD9"/>
    <w:rsid w:val="07135D80"/>
    <w:rsid w:val="0A485F2B"/>
    <w:rsid w:val="0BD6730E"/>
    <w:rsid w:val="0C4647E6"/>
    <w:rsid w:val="0D4377FC"/>
    <w:rsid w:val="1C1551B4"/>
    <w:rsid w:val="21EB4BBD"/>
    <w:rsid w:val="24CB3DAA"/>
    <w:rsid w:val="404F74B5"/>
    <w:rsid w:val="41931E58"/>
    <w:rsid w:val="44E31998"/>
    <w:rsid w:val="45F92284"/>
    <w:rsid w:val="5626346E"/>
    <w:rsid w:val="5C9B300F"/>
    <w:rsid w:val="66806CE1"/>
    <w:rsid w:val="6B262041"/>
    <w:rsid w:val="6BCA69F3"/>
    <w:rsid w:val="6CB423CE"/>
    <w:rsid w:val="7D4D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A77D7B8-8076-49B1-8E10-15D29F6D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style>
  <w:style w:type="paragraph" w:styleId="2">
    <w:name w:val="Body Text Indent 2"/>
    <w:basedOn w:val="a"/>
    <w:link w:val="20"/>
    <w:qFormat/>
    <w:pPr>
      <w:ind w:firstLineChars="200" w:firstLine="480"/>
    </w:pPr>
    <w:rPr>
      <w:rFonts w:ascii="仿宋_GB2312" w:eastAsia="仿宋_GB2312"/>
      <w:sz w:val="24"/>
    </w:rPr>
  </w:style>
  <w:style w:type="paragraph" w:styleId="a4">
    <w:name w:val="footer"/>
    <w:basedOn w:val="a"/>
    <w:link w:val="a5"/>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semiHidden/>
    <w:qFormat/>
    <w:rPr>
      <w:sz w:val="18"/>
      <w:szCs w:val="18"/>
    </w:rPr>
  </w:style>
  <w:style w:type="character" w:customStyle="1" w:styleId="20">
    <w:name w:val="正文文本缩进 2 字符"/>
    <w:basedOn w:val="a1"/>
    <w:link w:val="2"/>
    <w:qFormat/>
    <w:rPr>
      <w:rFonts w:ascii="仿宋_GB2312" w:eastAsia="仿宋_GB2312" w:hAnsi="Calibri" w:cs="Times New Roman"/>
      <w:sz w:val="24"/>
      <w:szCs w:val="24"/>
    </w:rPr>
  </w:style>
  <w:style w:type="character" w:customStyle="1" w:styleId="style51">
    <w:name w:val="style51"/>
    <w:qFormat/>
    <w:rPr>
      <w:rFonts w:ascii="Times New Roman" w:eastAsia="宋体" w:hAnsi="Times New Roman" w:cs="Times New Roman"/>
      <w:color w:val="000000"/>
      <w:sz w:val="18"/>
      <w:szCs w:val="18"/>
      <w:u w:val="none"/>
      <w:lang w:bidi="ar-SA"/>
    </w:rPr>
  </w:style>
  <w:style w:type="paragraph" w:customStyle="1" w:styleId="BodyText1I2">
    <w:name w:val="BodyText1I2"/>
    <w:qFormat/>
    <w:pPr>
      <w:widowControl w:val="0"/>
      <w:ind w:left="200" w:firstLineChars="200" w:firstLine="420"/>
      <w:jc w:val="both"/>
      <w:textAlignment w:val="baseline"/>
    </w:pPr>
    <w:rPr>
      <w:rFonts w:ascii="仿宋_GB2312" w:eastAsia="仿宋_GB2312"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580</Words>
  <Characters>3308</Characters>
  <Application>Microsoft Office Word</Application>
  <DocSecurity>0</DocSecurity>
  <Lines>27</Lines>
  <Paragraphs>7</Paragraphs>
  <ScaleCrop>false</ScaleCrop>
  <Company>Microsoft</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修远 余</cp:lastModifiedBy>
  <cp:revision>4</cp:revision>
  <dcterms:created xsi:type="dcterms:W3CDTF">2025-02-21T08:49:00Z</dcterms:created>
  <dcterms:modified xsi:type="dcterms:W3CDTF">2025-03-17T05:15:00Z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eyJoZGlkIjoiZGQ5YjgyN2RkM2RmMTkyYmM2Y2NhMDdkOTFkZThlYzYifQ==</vt:lpwstr>
  </property>
  <property fmtid="{D5CDD505-2E9C-101B-9397-08002B2CF9AE}" pid="3" name="KSOProductBuildVer">
    <vt:lpwstr>2052-12.1.0.20305</vt:lpwstr>
  </property>
  <property fmtid="{D5CDD505-2E9C-101B-9397-08002B2CF9AE}" pid="4" name="ICV">
    <vt:lpwstr>CFC0D8E0BB434A0CBC18ACB3F9612553_12</vt:lpwstr>
  </property>
</Properties>
</file>