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3D380">
      <w:pPr>
        <w:spacing w:line="500" w:lineRule="exact"/>
        <w:outlineLvl w:val="9"/>
        <w:rPr>
          <w:rFonts w:hint="default" w:ascii="仿宋_GB2312" w:hAnsi="仿宋_GB2312" w:eastAsia="仿宋_GB2312" w:cs="仿宋_GB2312"/>
          <w:b w:val="0"/>
          <w:bCs w:val="0"/>
          <w:sz w:val="28"/>
          <w:szCs w:val="28"/>
          <w:lang w:val="en-US" w:eastAsia="zh-CN"/>
        </w:rPr>
      </w:pPr>
      <w:bookmarkStart w:id="0" w:name="_GoBack"/>
      <w:bookmarkEnd w:id="0"/>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04FD5B4C">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7C93B9CE">
      <w:pPr>
        <w:spacing w:line="500" w:lineRule="exact"/>
        <w:ind w:firstLine="560" w:firstLineChars="200"/>
        <w:outlineLvl w:val="9"/>
        <w:rPr>
          <w:rFonts w:hint="eastAsia" w:ascii="黑体" w:hAnsi="黑体" w:eastAsia="黑体" w:cs="黑体"/>
          <w:sz w:val="28"/>
          <w:szCs w:val="28"/>
        </w:rPr>
      </w:pPr>
    </w:p>
    <w:p w14:paraId="4CDCA92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7FCD4E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0D0E16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5168CB5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B89225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1016BD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34A22319">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1BCF852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04A932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34AFB814">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25A0EE0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438DDA6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579B934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32A2DF3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7A50EF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767FEE5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2F2A166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53CF4E6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3936D664">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0D05E8D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19F486FE">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764EC0C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222A6DF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0D3426F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7C8EBB5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451BD27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E1764D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08FB17B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3553A00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254C1616">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47049BB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1E25C56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6C361AE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409D1282">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52E0349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49BFFC3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47F9C79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757F8ADF">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40B91BC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60A9B6E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659F48B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600B642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7C65AF8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57B06FA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eastAsia="zh-CN"/>
        </w:rPr>
        <w:t>绵阳人事考试网自行打印</w:t>
      </w:r>
      <w:r>
        <w:rPr>
          <w:rFonts w:hint="default" w:ascii="仿宋_GB2312" w:hAnsi="仿宋_GB2312" w:eastAsia="仿宋_GB2312" w:cs="仿宋_GB2312"/>
          <w:sz w:val="28"/>
          <w:szCs w:val="28"/>
        </w:rPr>
        <w:t>）；</w:t>
      </w:r>
    </w:p>
    <w:p w14:paraId="417DE46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2F767BA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7B0F1A8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5FB750A2">
      <w:pPr>
        <w:numPr>
          <w:ilvl w:val="0"/>
          <w:numId w:val="1"/>
        </w:numPr>
        <w:spacing w:line="500" w:lineRule="exact"/>
        <w:ind w:firstLine="560" w:firstLineChars="20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04F379B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62F55E7A">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4AD3317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4C5C06AA">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349712F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799E7D4">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5772D54F">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159A660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7AF54A14">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7104C26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FF0000"/>
          <w:sz w:val="28"/>
          <w:szCs w:val="28"/>
        </w:rPr>
        <w:t>2025年</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color w:val="auto"/>
          <w:sz w:val="28"/>
          <w:szCs w:val="28"/>
          <w:lang w:val="en-US" w:eastAsia="zh-CN"/>
        </w:rPr>
        <w:t>4月2日</w:t>
      </w:r>
      <w:r>
        <w:rPr>
          <w:rFonts w:hint="eastAsia" w:ascii="仿宋_GB2312" w:hAnsi="仿宋_GB2312" w:eastAsia="仿宋_GB2312" w:cs="仿宋_GB2312"/>
          <w:sz w:val="28"/>
          <w:szCs w:val="28"/>
        </w:rPr>
        <w:t>17点以后提交材料或者提供材料不符合相关要求的不做减免处理。</w:t>
      </w:r>
    </w:p>
    <w:p w14:paraId="19FF3B3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26DB511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11C9050">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761A058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0C213E4">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5.办理程序：</w:t>
      </w:r>
    </w:p>
    <w:p w14:paraId="2E6AA510">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（1）首先在网上完成报名并缴纳报名费用，申请减免通过后予以退费；</w:t>
      </w:r>
    </w:p>
    <w:p w14:paraId="468AC3BF">
      <w:pPr>
        <w:spacing w:line="500" w:lineRule="exact"/>
        <w:ind w:firstLine="560" w:firstLineChars="200"/>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报考人员可到现场办理减免报考费用的手续。不方便到现场办理的人员，须拨打联系电话（</w:t>
      </w:r>
      <w:r>
        <w:rPr>
          <w:rFonts w:hint="eastAsia" w:ascii="仿宋_GB2312" w:hAnsi="仿宋_GB2312" w:eastAsia="仿宋_GB2312" w:cs="仿宋_GB2312"/>
          <w:color w:val="FF0000"/>
          <w:sz w:val="28"/>
          <w:szCs w:val="28"/>
          <w:lang w:val="en-US" w:eastAsia="zh-CN"/>
        </w:rPr>
        <w:t>0816-2264825</w:t>
      </w:r>
      <w:r>
        <w:rPr>
          <w:rFonts w:hint="eastAsia" w:ascii="仿宋_GB2312" w:hAnsi="仿宋_GB2312" w:eastAsia="仿宋_GB2312" w:cs="仿宋_GB2312"/>
          <w:color w:val="FF0000"/>
          <w:sz w:val="28"/>
          <w:szCs w:val="28"/>
        </w:rPr>
        <w:t>），通过传真或邮箱上传减免所需材料，经审核确认后办理减免手续。</w:t>
      </w:r>
    </w:p>
    <w:p w14:paraId="25664074">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39B39F4C">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9CD1C4-7FEF-425F-BFD7-C8C5C35CA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F4785F2-942E-4AF7-8039-BF7A8DE30698}"/>
  </w:font>
  <w:font w:name="方正小标宋简体">
    <w:panose1 w:val="03000509000000000000"/>
    <w:charset w:val="86"/>
    <w:family w:val="auto"/>
    <w:pitch w:val="default"/>
    <w:sig w:usb0="00000001" w:usb1="080E0000" w:usb2="00000000" w:usb3="00000000" w:csb0="00040000" w:csb1="00000000"/>
    <w:embedRegular r:id="rId3" w:fontKey="{F57E1339-A362-458F-8AA6-B64D6243A102}"/>
  </w:font>
  <w:font w:name="楷体_GB2312">
    <w:panose1 w:val="02010609030101010101"/>
    <w:charset w:val="86"/>
    <w:family w:val="modern"/>
    <w:pitch w:val="default"/>
    <w:sig w:usb0="00000001" w:usb1="080E0000" w:usb2="00000000" w:usb3="00000000" w:csb0="00040000" w:csb1="00000000"/>
    <w:embedRegular r:id="rId4" w:fontKey="{B332F364-A5AE-4BA4-8F2C-8D1278FA62C0}"/>
  </w:font>
  <w:font w:name="方正楷体简体">
    <w:altName w:val="楷体_GB2312"/>
    <w:panose1 w:val="03000509000000000000"/>
    <w:charset w:val="86"/>
    <w:family w:val="auto"/>
    <w:pitch w:val="default"/>
    <w:sig w:usb0="00000001" w:usb1="080E0000" w:usb2="00000000" w:usb3="00000000" w:csb0="00040000" w:csb1="00000000"/>
    <w:embedRegular r:id="rId5" w:fontKey="{110E45D7-EAA2-4375-AB9D-0C3DFA7FBE53}"/>
  </w:font>
  <w:font w:name="方正仿宋_GB2312">
    <w:panose1 w:val="02000000000000000000"/>
    <w:charset w:val="86"/>
    <w:family w:val="auto"/>
    <w:pitch w:val="default"/>
    <w:sig w:usb0="A00002BF" w:usb1="184F6CFA" w:usb2="00000012" w:usb3="00000000" w:csb0="00040001" w:csb1="00000000"/>
    <w:embedRegular r:id="rId6" w:fontKey="{1E98E686-49F5-4B8F-84B7-7730E3E56F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7C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B874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8CB874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C90D7F"/>
    <w:rsid w:val="03317980"/>
    <w:rsid w:val="03400B54"/>
    <w:rsid w:val="035D5DC6"/>
    <w:rsid w:val="04205716"/>
    <w:rsid w:val="04234BD5"/>
    <w:rsid w:val="04EA7130"/>
    <w:rsid w:val="053B7EF6"/>
    <w:rsid w:val="05ED240C"/>
    <w:rsid w:val="06192A75"/>
    <w:rsid w:val="06E0226E"/>
    <w:rsid w:val="0CBF0A25"/>
    <w:rsid w:val="0D97436D"/>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84B399F"/>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4545</Words>
  <Characters>4663</Characters>
  <Lines>0</Lines>
  <Paragraphs>0</Paragraphs>
  <TotalTime>40.3333333333333</TotalTime>
  <ScaleCrop>false</ScaleCrop>
  <LinksUpToDate>false</LinksUpToDate>
  <CharactersWithSpaces>4664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8AD67E6E5CD74B499F256734F472D0CE_13</vt:lpwstr>
  </property>
  <property fmtid="{D5CDD505-2E9C-101B-9397-08002B2CF9AE}" pid="4" name="KSOTemplateDocerSaveRecord">
    <vt:lpwstr>eyJoZGlkIjoiYmJhOTkwZTBlNzlkZmI4Njg2MDM3MjkwMzQ1Y2MwMzUiLCJ1c2VySWQiOiI1NTU4MTIzMjEifQ==</vt:lpwstr>
  </property>
</Properties>
</file>