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43" w:line="219" w:lineRule="auto"/>
        <w:ind w:left="17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昆明市公安机关警务辅助人员</w:t>
      </w:r>
    </w:p>
    <w:p>
      <w:pPr>
        <w:spacing w:before="51" w:line="219" w:lineRule="auto"/>
        <w:ind w:left="28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8"/>
          <w:sz w:val="44"/>
          <w:szCs w:val="44"/>
        </w:rPr>
        <w:t>体检标准(试行)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4" w:line="342" w:lineRule="auto"/>
        <w:ind w:firstLine="62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第一条</w:t>
      </w:r>
      <w:r>
        <w:rPr>
          <w:rFonts w:ascii="宋体" w:hAnsi="宋体" w:eastAsia="宋体" w:cs="宋体"/>
          <w:spacing w:val="31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9"/>
          <w:sz w:val="32"/>
          <w:szCs w:val="32"/>
        </w:rPr>
        <w:t>风湿性心脏</w:t>
      </w:r>
      <w:bookmarkStart w:id="0" w:name="_GoBack"/>
      <w:bookmarkEnd w:id="0"/>
      <w:r>
        <w:rPr>
          <w:rFonts w:ascii="宋体" w:hAnsi="宋体" w:eastAsia="宋体" w:cs="宋体"/>
          <w:spacing w:val="-9"/>
          <w:sz w:val="32"/>
          <w:szCs w:val="32"/>
        </w:rPr>
        <w:t>病、心肌病、冠心病、先天性心脏病等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4"/>
          <w:sz w:val="32"/>
          <w:szCs w:val="32"/>
        </w:rPr>
        <w:t>器质性心脏病，不合格。先天性心脏病不需手术者或经手术治愈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0"/>
          <w:sz w:val="32"/>
          <w:szCs w:val="32"/>
        </w:rPr>
        <w:t>者，合格。</w:t>
      </w:r>
    </w:p>
    <w:p>
      <w:pPr>
        <w:spacing w:before="200" w:line="219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遇有下列情况之一的，排除病理性改变，合格：</w:t>
      </w:r>
    </w:p>
    <w:p>
      <w:pPr>
        <w:spacing w:before="220" w:line="219" w:lineRule="auto"/>
        <w:ind w:left="7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(一)心脏听诊有杂音；</w:t>
      </w:r>
    </w:p>
    <w:p>
      <w:pPr>
        <w:spacing w:before="208" w:line="219" w:lineRule="auto"/>
        <w:ind w:left="7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sz w:val="32"/>
          <w:szCs w:val="32"/>
        </w:rPr>
        <w:t>(二)频发期前收缩；</w:t>
      </w:r>
    </w:p>
    <w:p>
      <w:pPr>
        <w:spacing w:before="213" w:line="219" w:lineRule="auto"/>
        <w:ind w:left="7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0"/>
          <w:sz w:val="32"/>
          <w:szCs w:val="32"/>
        </w:rPr>
        <w:t>(三)心率每分钟小于50次或大于110次</w:t>
      </w:r>
      <w:r>
        <w:rPr>
          <w:rFonts w:ascii="宋体" w:hAnsi="宋体" w:eastAsia="宋体" w:cs="宋体"/>
          <w:spacing w:val="19"/>
          <w:sz w:val="32"/>
          <w:szCs w:val="32"/>
        </w:rPr>
        <w:t>；</w:t>
      </w:r>
    </w:p>
    <w:p>
      <w:pPr>
        <w:spacing w:before="210" w:line="219" w:lineRule="auto"/>
        <w:ind w:left="7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(四)心电图有异常的其他情况。</w:t>
      </w:r>
    </w:p>
    <w:p>
      <w:pPr>
        <w:spacing w:before="216" w:line="267" w:lineRule="auto"/>
        <w:ind w:left="619" w:right="3200" w:firstLine="4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第二条</w:t>
      </w:r>
      <w:r>
        <w:rPr>
          <w:rFonts w:ascii="宋体" w:hAnsi="宋体" w:eastAsia="宋体" w:cs="宋体"/>
          <w:spacing w:val="14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9"/>
          <w:sz w:val="32"/>
          <w:szCs w:val="32"/>
        </w:rPr>
        <w:t>血压在下列范围内，合格：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收缩压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90</w:t>
      </w:r>
      <w:r>
        <w:rPr>
          <w:rFonts w:ascii="Times New Roman" w:hAnsi="Times New Roman" w:eastAsia="Times New Roman" w:cs="Times New Roman"/>
          <w:sz w:val="32"/>
          <w:szCs w:val="32"/>
        </w:rPr>
        <w:t>mmHg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-</w:t>
      </w:r>
      <w:r>
        <w:rPr>
          <w:rFonts w:ascii="Times New Roman" w:hAnsi="Times New Roman" w:eastAsia="Times New Roman" w:cs="Times New Roman"/>
          <w:spacing w:val="-3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140</w:t>
      </w:r>
      <w:r>
        <w:rPr>
          <w:rFonts w:ascii="Times New Roman" w:hAnsi="Times New Roman" w:eastAsia="Times New Roman" w:cs="Times New Roman"/>
          <w:sz w:val="32"/>
          <w:szCs w:val="32"/>
        </w:rPr>
        <w:t>mmHg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;</w:t>
      </w:r>
    </w:p>
    <w:p>
      <w:pPr>
        <w:spacing w:before="222" w:line="212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舒张压</w:t>
      </w: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60</w:t>
      </w:r>
      <w:r>
        <w:rPr>
          <w:rFonts w:ascii="Times New Roman" w:hAnsi="Times New Roman" w:eastAsia="Times New Roman" w:cs="Times New Roman"/>
          <w:sz w:val="32"/>
          <w:szCs w:val="32"/>
        </w:rPr>
        <w:t>mmHg</w:t>
      </w: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-90</w:t>
      </w:r>
      <w:r>
        <w:rPr>
          <w:rFonts w:ascii="Times New Roman" w:hAnsi="Times New Roman" w:eastAsia="Times New Roman" w:cs="Times New Roman"/>
          <w:sz w:val="32"/>
          <w:szCs w:val="32"/>
        </w:rPr>
        <w:t>mmHg</w:t>
      </w:r>
      <w:r>
        <w:rPr>
          <w:rFonts w:ascii="宋体" w:hAnsi="宋体" w:eastAsia="宋体" w:cs="宋体"/>
          <w:spacing w:val="5"/>
          <w:sz w:val="32"/>
          <w:szCs w:val="32"/>
        </w:rPr>
        <w:t>。</w:t>
      </w:r>
    </w:p>
    <w:p>
      <w:pPr>
        <w:spacing w:before="254" w:line="590" w:lineRule="exact"/>
        <w:ind w:left="62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"/>
          <w:position w:val="20"/>
          <w:sz w:val="32"/>
          <w:szCs w:val="32"/>
        </w:rPr>
        <w:t>第三条</w:t>
      </w:r>
      <w:r>
        <w:rPr>
          <w:rFonts w:ascii="宋体" w:hAnsi="宋体" w:eastAsia="宋体" w:cs="宋体"/>
          <w:spacing w:val="11"/>
          <w:position w:val="20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2"/>
          <w:position w:val="20"/>
          <w:sz w:val="32"/>
          <w:szCs w:val="32"/>
        </w:rPr>
        <w:t>单侧矫正视力低于4.8,不合格。</w:t>
      </w:r>
    </w:p>
    <w:p>
      <w:pPr>
        <w:spacing w:before="2" w:line="218" w:lineRule="auto"/>
        <w:ind w:left="62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第四条</w:t>
      </w:r>
      <w:r>
        <w:rPr>
          <w:rFonts w:ascii="宋体" w:hAnsi="宋体" w:eastAsia="宋体" w:cs="宋体"/>
          <w:spacing w:val="25"/>
          <w:sz w:val="32"/>
          <w:szCs w:val="32"/>
        </w:rPr>
        <w:t xml:space="preserve">  </w:t>
      </w:r>
      <w:r>
        <w:rPr>
          <w:rFonts w:ascii="宋体" w:hAnsi="宋体" w:eastAsia="宋体" w:cs="宋体"/>
          <w:spacing w:val="-7"/>
          <w:sz w:val="32"/>
          <w:szCs w:val="32"/>
        </w:rPr>
        <w:t>过于肥胖或消瘦者，不能录用。</w:t>
      </w:r>
    </w:p>
    <w:p>
      <w:pPr>
        <w:spacing w:before="214" w:line="219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判定过于肥胖或消瘦者按以下方法：</w:t>
      </w:r>
    </w:p>
    <w:p>
      <w:pPr>
        <w:spacing w:before="211" w:line="591" w:lineRule="exact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position w:val="20"/>
          <w:sz w:val="32"/>
          <w:szCs w:val="32"/>
        </w:rPr>
        <w:t>实际体重超过标准体重25%以上者为过于肥胖；</w:t>
      </w:r>
    </w:p>
    <w:p>
      <w:pPr>
        <w:spacing w:line="219" w:lineRule="auto"/>
        <w:ind w:left="61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5"/>
          <w:sz w:val="32"/>
          <w:szCs w:val="32"/>
        </w:rPr>
        <w:t>实际体重低于标准体重15%以上者为过于瘦弱</w:t>
      </w:r>
      <w:r>
        <w:rPr>
          <w:rFonts w:ascii="宋体" w:hAnsi="宋体" w:eastAsia="宋体" w:cs="宋体"/>
          <w:spacing w:val="4"/>
          <w:sz w:val="32"/>
          <w:szCs w:val="32"/>
        </w:rPr>
        <w:t>。</w:t>
      </w:r>
    </w:p>
    <w:p>
      <w:pPr>
        <w:sectPr>
          <w:footerReference r:id="rId5" w:type="default"/>
          <w:pgSz w:w="12190" w:h="17030"/>
          <w:pgMar w:top="1447" w:right="1639" w:bottom="1073" w:left="1700" w:header="0" w:footer="814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1" w:line="219" w:lineRule="auto"/>
        <w:ind w:left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标准体重计算方法：</w:t>
      </w:r>
    </w:p>
    <w:p>
      <w:pPr>
        <w:spacing w:before="222" w:line="219" w:lineRule="auto"/>
        <w:ind w:left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4"/>
          <w:sz w:val="31"/>
          <w:szCs w:val="31"/>
        </w:rPr>
        <w:t>标准体重(千克)=身高(厘米)-</w:t>
      </w:r>
      <w:r>
        <w:rPr>
          <w:rFonts w:ascii="宋体" w:hAnsi="宋体" w:eastAsia="宋体" w:cs="宋体"/>
          <w:spacing w:val="-6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4"/>
          <w:sz w:val="31"/>
          <w:szCs w:val="31"/>
        </w:rPr>
        <w:t>110</w:t>
      </w:r>
    </w:p>
    <w:p>
      <w:pPr>
        <w:spacing w:before="222" w:line="219" w:lineRule="auto"/>
        <w:ind w:left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超出和低于标准体重的百分数计算方法：</w:t>
      </w:r>
    </w:p>
    <w:p>
      <w:pPr>
        <w:spacing w:before="211" w:line="629" w:lineRule="exact"/>
        <w:ind w:left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9"/>
          <w:position w:val="24"/>
          <w:sz w:val="31"/>
          <w:szCs w:val="31"/>
        </w:rPr>
        <w:t>[实际体重(千克)-标准体重(千克)]÷标准体重(千克)</w:t>
      </w:r>
    </w:p>
    <w:p>
      <w:pPr>
        <w:spacing w:before="1" w:line="18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0"/>
          <w:sz w:val="31"/>
          <w:szCs w:val="31"/>
        </w:rPr>
        <w:t>×100%</w:t>
      </w:r>
    </w:p>
    <w:p>
      <w:pPr>
        <w:spacing w:before="238" w:line="219" w:lineRule="auto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第五条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"/>
          <w:sz w:val="31"/>
          <w:szCs w:val="31"/>
        </w:rPr>
        <w:t>色盲，不合格。</w:t>
      </w:r>
    </w:p>
    <w:p>
      <w:pPr>
        <w:spacing w:before="233" w:line="351" w:lineRule="auto"/>
        <w:ind w:firstLine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第六条</w:t>
      </w:r>
      <w:r>
        <w:rPr>
          <w:rFonts w:ascii="宋体" w:hAnsi="宋体" w:eastAsia="宋体" w:cs="宋体"/>
          <w:spacing w:val="3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"/>
          <w:sz w:val="31"/>
          <w:szCs w:val="31"/>
        </w:rPr>
        <w:t>影响面容且难以治愈的皮肤病(如白癜</w:t>
      </w:r>
      <w:r>
        <w:rPr>
          <w:rFonts w:ascii="宋体" w:hAnsi="宋体" w:eastAsia="宋体" w:cs="宋体"/>
          <w:spacing w:val="-2"/>
          <w:sz w:val="31"/>
          <w:szCs w:val="31"/>
        </w:rPr>
        <w:t>风、银屑病、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2"/>
          <w:sz w:val="31"/>
          <w:szCs w:val="31"/>
        </w:rPr>
        <w:t>血管瘤、斑痣等),或者外观存在明显疾病特征(如五官畸形、</w:t>
      </w:r>
    </w:p>
    <w:p>
      <w:pPr>
        <w:spacing w:before="1" w:line="216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</w:rPr>
        <w:t>不能自行矫正的斜颈、步态异常等),不合格。</w:t>
      </w:r>
    </w:p>
    <w:p>
      <w:pPr>
        <w:spacing w:before="237" w:line="219" w:lineRule="auto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第七条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4"/>
          <w:sz w:val="31"/>
          <w:szCs w:val="31"/>
        </w:rPr>
        <w:t>文身，不合格。</w:t>
      </w:r>
    </w:p>
    <w:p>
      <w:pPr>
        <w:spacing w:before="227" w:line="219" w:lineRule="auto"/>
        <w:ind w:left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第八条</w:t>
      </w:r>
      <w:r>
        <w:rPr>
          <w:rFonts w:ascii="宋体" w:hAnsi="宋体" w:eastAsia="宋体" w:cs="宋体"/>
          <w:spacing w:val="14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肢体功能障碍，不合格。</w:t>
      </w:r>
    </w:p>
    <w:p>
      <w:pPr>
        <w:spacing w:before="222" w:line="219" w:lineRule="auto"/>
        <w:ind w:left="6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第九条</w:t>
      </w:r>
      <w:r>
        <w:rPr>
          <w:rFonts w:ascii="宋体" w:hAnsi="宋体" w:eastAsia="宋体" w:cs="宋体"/>
          <w:spacing w:val="15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4"/>
          <w:sz w:val="31"/>
          <w:szCs w:val="31"/>
        </w:rPr>
        <w:t>单侧耳语听力低于5米，不合格。</w:t>
      </w:r>
    </w:p>
    <w:p>
      <w:pPr>
        <w:spacing w:before="218" w:line="219" w:lineRule="auto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3"/>
          <w:sz w:val="31"/>
          <w:szCs w:val="31"/>
        </w:rPr>
        <w:t>第十条</w:t>
      </w:r>
      <w:r>
        <w:rPr>
          <w:rFonts w:ascii="宋体" w:hAnsi="宋体" w:eastAsia="宋体" w:cs="宋体"/>
          <w:spacing w:val="3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3"/>
          <w:sz w:val="31"/>
          <w:szCs w:val="31"/>
        </w:rPr>
        <w:t>嗅觉迟钝，不合格。</w:t>
      </w:r>
    </w:p>
    <w:p>
      <w:pPr>
        <w:spacing w:before="222" w:line="219" w:lineRule="auto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第十一条</w:t>
      </w:r>
      <w:r>
        <w:rPr>
          <w:rFonts w:ascii="宋体" w:hAnsi="宋体" w:eastAsia="宋体" w:cs="宋体"/>
          <w:spacing w:val="7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乙肝病原携带者，特警、留置看护岗位不合格。</w:t>
      </w:r>
    </w:p>
    <w:p>
      <w:pPr>
        <w:spacing w:before="222" w:line="584" w:lineRule="exact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position w:val="20"/>
          <w:sz w:val="31"/>
          <w:szCs w:val="31"/>
        </w:rPr>
        <w:t>第十二条</w:t>
      </w:r>
      <w:r>
        <w:rPr>
          <w:rFonts w:ascii="宋体" w:hAnsi="宋体" w:eastAsia="宋体" w:cs="宋体"/>
          <w:spacing w:val="29"/>
          <w:position w:val="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position w:val="20"/>
          <w:sz w:val="31"/>
          <w:szCs w:val="31"/>
        </w:rPr>
        <w:t>血液系统疾病，不合格。单纯性缺铁性贫血，血</w:t>
      </w:r>
    </w:p>
    <w:p>
      <w:pPr>
        <w:spacing w:before="1" w:line="213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1"/>
          <w:sz w:val="31"/>
          <w:szCs w:val="31"/>
        </w:rPr>
        <w:t>红蛋白男性高于90g/L、女性高于80g/L,合格。</w:t>
      </w:r>
    </w:p>
    <w:p>
      <w:pPr>
        <w:spacing w:before="227" w:line="219" w:lineRule="auto"/>
        <w:ind w:left="6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第十三条</w:t>
      </w:r>
      <w:r>
        <w:rPr>
          <w:rFonts w:ascii="宋体" w:hAnsi="宋体" w:eastAsia="宋体" w:cs="宋体"/>
          <w:spacing w:val="61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结核病不合格。但下列情况合格：</w:t>
      </w:r>
    </w:p>
    <w:p>
      <w:pPr>
        <w:spacing w:before="217" w:line="590" w:lineRule="exact"/>
        <w:ind w:left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1"/>
          <w:sz w:val="31"/>
          <w:szCs w:val="31"/>
        </w:rPr>
        <w:t>(一)原发性肺结核、继发性肺结核、结核性</w:t>
      </w:r>
      <w:r>
        <w:rPr>
          <w:rFonts w:ascii="宋体" w:hAnsi="宋体" w:eastAsia="宋体" w:cs="宋体"/>
          <w:spacing w:val="9"/>
          <w:position w:val="21"/>
          <w:sz w:val="31"/>
          <w:szCs w:val="31"/>
        </w:rPr>
        <w:t>胸膜炎，临床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治愈后稳定1年无变化者；</w:t>
      </w:r>
    </w:p>
    <w:p>
      <w:pPr>
        <w:spacing w:before="220" w:line="591" w:lineRule="exact"/>
        <w:ind w:left="7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1"/>
          <w:sz w:val="31"/>
          <w:szCs w:val="31"/>
        </w:rPr>
        <w:t>(二)肺外结核病：肾结核、骨结核、腹膜结核、淋巴</w:t>
      </w:r>
      <w:r>
        <w:rPr>
          <w:rFonts w:ascii="宋体" w:hAnsi="宋体" w:eastAsia="宋体" w:cs="宋体"/>
          <w:spacing w:val="9"/>
          <w:position w:val="21"/>
          <w:sz w:val="31"/>
          <w:szCs w:val="31"/>
        </w:rPr>
        <w:t>结核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等，临床治愈后2年无复发，经专科医院检查无变化者。</w:t>
      </w:r>
    </w:p>
    <w:p>
      <w:pPr>
        <w:sectPr>
          <w:footerReference r:id="rId6" w:type="default"/>
          <w:pgSz w:w="11920" w:h="16840"/>
          <w:pgMar w:top="1431" w:right="1474" w:bottom="1098" w:left="1539" w:header="0" w:footer="79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4" w:line="595" w:lineRule="exact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position w:val="20"/>
          <w:sz w:val="32"/>
          <w:szCs w:val="32"/>
        </w:rPr>
        <w:t>第十四条</w:t>
      </w:r>
      <w:r>
        <w:rPr>
          <w:rFonts w:ascii="宋体" w:hAnsi="宋体" w:eastAsia="宋体" w:cs="宋体"/>
          <w:spacing w:val="37"/>
          <w:position w:val="2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position w:val="20"/>
          <w:sz w:val="32"/>
          <w:szCs w:val="32"/>
        </w:rPr>
        <w:t>慢性支气管炎伴阻塞性肺气肿、支气管扩张、支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气管哮喘，不合格。</w:t>
      </w:r>
    </w:p>
    <w:p>
      <w:pPr>
        <w:spacing w:before="204" w:line="342" w:lineRule="auto"/>
        <w:ind w:right="86" w:firstLine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第十五条</w:t>
      </w:r>
      <w:r>
        <w:rPr>
          <w:rFonts w:ascii="宋体" w:hAnsi="宋体" w:eastAsia="宋体" w:cs="宋体"/>
          <w:spacing w:val="7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慢性胰腺炎、溃疡性结肠炎、克罗恩病等严重慢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4"/>
          <w:sz w:val="32"/>
          <w:szCs w:val="32"/>
        </w:rPr>
        <w:t>性消化系统疾病，不合格。胃次全切除术后无严重并发症者，合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5"/>
          <w:sz w:val="32"/>
          <w:szCs w:val="32"/>
        </w:rPr>
        <w:t>格。</w:t>
      </w:r>
    </w:p>
    <w:p>
      <w:pPr>
        <w:spacing w:before="205" w:line="219" w:lineRule="auto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第十六条</w:t>
      </w:r>
      <w:r>
        <w:rPr>
          <w:rFonts w:ascii="宋体" w:hAnsi="宋体" w:eastAsia="宋体" w:cs="宋体"/>
          <w:spacing w:val="2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6"/>
          <w:sz w:val="32"/>
          <w:szCs w:val="32"/>
        </w:rPr>
        <w:t>各种急慢性肝炎及肝硬化，不合格。</w:t>
      </w:r>
    </w:p>
    <w:p>
      <w:pPr>
        <w:spacing w:before="210" w:line="219" w:lineRule="auto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3"/>
          <w:sz w:val="32"/>
          <w:szCs w:val="32"/>
        </w:rPr>
        <w:t>第十七条</w:t>
      </w:r>
      <w:r>
        <w:rPr>
          <w:rFonts w:ascii="宋体" w:hAnsi="宋体" w:eastAsia="宋体" w:cs="宋体"/>
          <w:spacing w:val="6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3"/>
          <w:sz w:val="32"/>
          <w:szCs w:val="32"/>
        </w:rPr>
        <w:t>恶性肿瘤，不合格。</w:t>
      </w:r>
    </w:p>
    <w:p>
      <w:pPr>
        <w:spacing w:before="210" w:line="595" w:lineRule="exact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position w:val="20"/>
          <w:sz w:val="32"/>
          <w:szCs w:val="32"/>
        </w:rPr>
        <w:t>第十八条</w:t>
      </w:r>
      <w:r>
        <w:rPr>
          <w:rFonts w:ascii="宋体" w:hAnsi="宋体" w:eastAsia="宋体" w:cs="宋体"/>
          <w:spacing w:val="67"/>
          <w:position w:val="2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4"/>
          <w:position w:val="20"/>
          <w:sz w:val="32"/>
          <w:szCs w:val="32"/>
        </w:rPr>
        <w:t>肾炎、慢性肾盂肾炎、多囊肾、肾功</w:t>
      </w:r>
      <w:r>
        <w:rPr>
          <w:rFonts w:ascii="宋体" w:hAnsi="宋体" w:eastAsia="宋体" w:cs="宋体"/>
          <w:spacing w:val="-5"/>
          <w:position w:val="20"/>
          <w:sz w:val="32"/>
          <w:szCs w:val="32"/>
        </w:rPr>
        <w:t>能不全，不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4"/>
          <w:sz w:val="32"/>
          <w:szCs w:val="32"/>
        </w:rPr>
        <w:t>合格。</w:t>
      </w:r>
    </w:p>
    <w:p>
      <w:pPr>
        <w:spacing w:before="205" w:line="595" w:lineRule="exact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0"/>
          <w:position w:val="20"/>
          <w:sz w:val="32"/>
          <w:szCs w:val="32"/>
        </w:rPr>
        <w:t>第十九条</w:t>
      </w:r>
      <w:r>
        <w:rPr>
          <w:rFonts w:ascii="宋体" w:hAnsi="宋体" w:eastAsia="宋体" w:cs="宋体"/>
          <w:spacing w:val="70"/>
          <w:position w:val="2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0"/>
          <w:position w:val="20"/>
          <w:sz w:val="32"/>
          <w:szCs w:val="32"/>
        </w:rPr>
        <w:t>糖尿病、尿崩症、肢端肥大症等内分泌系统疾病，</w:t>
      </w:r>
    </w:p>
    <w:p>
      <w:pPr>
        <w:spacing w:before="1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"/>
          <w:sz w:val="32"/>
          <w:szCs w:val="32"/>
        </w:rPr>
        <w:t>不合格。甲状腺功能亢进治愈后1年无症状和体征者，合格。</w:t>
      </w:r>
    </w:p>
    <w:p>
      <w:pPr>
        <w:spacing w:before="206" w:line="341" w:lineRule="auto"/>
        <w:ind w:right="143" w:firstLine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第二十条</w:t>
      </w:r>
      <w:r>
        <w:rPr>
          <w:rFonts w:ascii="宋体" w:hAnsi="宋体" w:eastAsia="宋体" w:cs="宋体"/>
          <w:spacing w:val="8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有癫痫病史、精神病史、癔病史、夜游症、严重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11"/>
          <w:sz w:val="32"/>
          <w:szCs w:val="32"/>
        </w:rPr>
        <w:t>的神经官能症(经常头痛头晕、失眠、记忆力明显下降等),精</w:t>
      </w:r>
    </w:p>
    <w:p>
      <w:pPr>
        <w:spacing w:before="1" w:line="218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神活性物质滥用和依赖者，不合格。</w:t>
      </w:r>
    </w:p>
    <w:p>
      <w:pPr>
        <w:spacing w:before="207" w:line="342" w:lineRule="auto"/>
        <w:ind w:right="71" w:firstLine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8"/>
          <w:sz w:val="32"/>
          <w:szCs w:val="32"/>
        </w:rPr>
        <w:t>第二十一条</w:t>
      </w:r>
      <w:r>
        <w:rPr>
          <w:rFonts w:ascii="宋体" w:hAnsi="宋体" w:eastAsia="宋体" w:cs="宋体"/>
          <w:spacing w:val="2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8"/>
          <w:sz w:val="32"/>
          <w:szCs w:val="32"/>
        </w:rPr>
        <w:t>红斑狼疮、皮肌炎和/或多发性肌炎、硬皮</w:t>
      </w:r>
      <w:r>
        <w:rPr>
          <w:rFonts w:ascii="宋体" w:hAnsi="宋体" w:eastAsia="宋体" w:cs="宋体"/>
          <w:spacing w:val="-9"/>
          <w:sz w:val="32"/>
          <w:szCs w:val="32"/>
        </w:rPr>
        <w:t>病、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结节性多动脉炎、类风湿性关节炎等各种弥漫</w:t>
      </w:r>
      <w:r>
        <w:rPr>
          <w:rFonts w:ascii="宋体" w:hAnsi="宋体" w:eastAsia="宋体" w:cs="宋体"/>
          <w:spacing w:val="-4"/>
          <w:sz w:val="32"/>
          <w:szCs w:val="32"/>
        </w:rPr>
        <w:t>性结缔组织疾病，</w:t>
      </w:r>
    </w:p>
    <w:p>
      <w:pPr>
        <w:spacing w:before="1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大动脉炎，不合格。</w:t>
      </w:r>
    </w:p>
    <w:p>
      <w:pPr>
        <w:spacing w:before="205" w:line="594" w:lineRule="exact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position w:val="20"/>
          <w:sz w:val="32"/>
          <w:szCs w:val="32"/>
        </w:rPr>
        <w:t>第二十二条</w:t>
      </w:r>
      <w:r>
        <w:rPr>
          <w:rFonts w:ascii="宋体" w:hAnsi="宋体" w:eastAsia="宋体" w:cs="宋体"/>
          <w:spacing w:val="82"/>
          <w:position w:val="2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position w:val="20"/>
          <w:sz w:val="32"/>
          <w:szCs w:val="32"/>
        </w:rPr>
        <w:t>晚期血吸虫病，晚期血丝虫病兼有橡皮肿或有</w:t>
      </w:r>
    </w:p>
    <w:p>
      <w:pPr>
        <w:spacing w:before="1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乳糜尿，不合格。</w:t>
      </w:r>
    </w:p>
    <w:p>
      <w:pPr>
        <w:spacing w:before="205" w:line="595" w:lineRule="exact"/>
        <w:ind w:left="63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position w:val="20"/>
          <w:sz w:val="32"/>
          <w:szCs w:val="32"/>
        </w:rPr>
        <w:t>第二十三条</w:t>
      </w:r>
      <w:r>
        <w:rPr>
          <w:rFonts w:ascii="宋体" w:hAnsi="宋体" w:eastAsia="宋体" w:cs="宋体"/>
          <w:spacing w:val="30"/>
          <w:position w:val="2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position w:val="20"/>
          <w:sz w:val="32"/>
          <w:szCs w:val="32"/>
        </w:rPr>
        <w:t>颅骨缺损、颅内异物存留、颅脑畸形、脑外伤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7"/>
          <w:sz w:val="32"/>
          <w:szCs w:val="32"/>
        </w:rPr>
        <w:t>后综合征，不合格。</w:t>
      </w:r>
    </w:p>
    <w:p>
      <w:pPr>
        <w:sectPr>
          <w:footerReference r:id="rId7" w:type="default"/>
          <w:pgSz w:w="12180" w:h="17020"/>
          <w:pgMar w:top="1446" w:right="1560" w:bottom="1063" w:left="1679" w:header="0" w:footer="804" w:gutter="0"/>
          <w:cols w:space="720" w:num="1"/>
        </w:sectPr>
      </w:pPr>
    </w:p>
    <w:p/>
    <w:p/>
    <w:p/>
    <w:p>
      <w:pPr>
        <w:spacing w:line="160" w:lineRule="exact"/>
      </w:pPr>
    </w:p>
    <w:p>
      <w:pPr>
        <w:sectPr>
          <w:footerReference r:id="rId8" w:type="default"/>
          <w:pgSz w:w="11920" w:h="16840"/>
          <w:pgMar w:top="1431" w:right="1686" w:bottom="1097" w:left="1530" w:header="0" w:footer="790" w:gutter="0"/>
          <w:cols w:equalWidth="0" w:num="1">
            <w:col w:w="8704"/>
          </w:cols>
        </w:sectPr>
      </w:pPr>
    </w:p>
    <w:p>
      <w:pPr>
        <w:spacing w:before="64" w:line="345" w:lineRule="auto"/>
        <w:ind w:left="624" w:right="51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第二十四条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第二十五条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第二十六条</w:t>
      </w:r>
    </w:p>
    <w:p>
      <w:pPr>
        <w:spacing w:line="184" w:lineRule="auto"/>
        <w:ind w:left="6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第二十七条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严重的慢性骨髓炎，不合格。</w:t>
      </w:r>
    </w:p>
    <w:p>
      <w:pPr>
        <w:spacing w:before="212" w:line="219" w:lineRule="auto"/>
        <w:ind w:left="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三度单纯性甲状腺肿，不合格。</w:t>
      </w:r>
    </w:p>
    <w:p>
      <w:pPr>
        <w:spacing w:before="212" w:line="219" w:lineRule="auto"/>
        <w:ind w:left="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有梗阻的胆结石或泌尿系结石，不合格。</w:t>
      </w:r>
    </w:p>
    <w:p>
      <w:pPr>
        <w:spacing w:before="212" w:line="184" w:lineRule="auto"/>
        <w:ind w:left="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淋病、梅毒、软下疳、性病性淋巴肉芽肿、尖</w:t>
      </w:r>
    </w:p>
    <w:p>
      <w:pPr>
        <w:sectPr>
          <w:type w:val="continuous"/>
          <w:pgSz w:w="11920" w:h="16840"/>
          <w:pgMar w:top="1431" w:right="1686" w:bottom="1097" w:left="1530" w:header="0" w:footer="790" w:gutter="0"/>
          <w:cols w:equalWidth="0" w:num="2">
            <w:col w:w="2260" w:space="100"/>
            <w:col w:w="6344"/>
          </w:cols>
        </w:sectPr>
      </w:pPr>
    </w:p>
    <w:p>
      <w:pPr>
        <w:spacing w:before="275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锐湿疣、生殖器疱疹，艾滋病，不合格。</w:t>
      </w:r>
    </w:p>
    <w:p>
      <w:pPr>
        <w:spacing w:before="207" w:line="584" w:lineRule="exact"/>
        <w:ind w:left="62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position w:val="20"/>
          <w:sz w:val="31"/>
          <w:szCs w:val="31"/>
        </w:rPr>
        <w:t>第二十八条</w:t>
      </w:r>
      <w:r>
        <w:rPr>
          <w:rFonts w:ascii="宋体" w:hAnsi="宋体" w:eastAsia="宋体" w:cs="宋体"/>
          <w:spacing w:val="36"/>
          <w:position w:val="2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position w:val="20"/>
          <w:sz w:val="31"/>
          <w:szCs w:val="31"/>
        </w:rPr>
        <w:t>未纳入体检标准，影响正常履行职责的其他严</w:t>
      </w:r>
    </w:p>
    <w:p>
      <w:pPr>
        <w:spacing w:line="184" w:lineRule="auto"/>
        <w:ind w:left="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重疾病，不合格。</w:t>
      </w:r>
    </w:p>
    <w:sectPr>
      <w:type w:val="continuous"/>
      <w:pgSz w:w="11920" w:h="16840"/>
      <w:pgMar w:top="1431" w:right="1686" w:bottom="1097" w:left="1530" w:header="0" w:footer="790" w:gutter="0"/>
      <w:cols w:equalWidth="0" w:num="1">
        <w:col w:w="870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78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-100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17—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8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sz w:val="31"/>
        <w:szCs w:val="31"/>
      </w:rPr>
      <w:t>—</w:t>
    </w:r>
    <w:r>
      <w:rPr>
        <w:rFonts w:ascii="宋体" w:hAnsi="宋体" w:eastAsia="宋体" w:cs="宋体"/>
        <w:spacing w:val="-121"/>
        <w:sz w:val="31"/>
        <w:szCs w:val="31"/>
      </w:rPr>
      <w:t xml:space="preserve"> </w:t>
    </w:r>
    <w:r>
      <w:rPr>
        <w:rFonts w:ascii="宋体" w:hAnsi="宋体" w:eastAsia="宋体" w:cs="宋体"/>
        <w:spacing w:val="-20"/>
        <w:sz w:val="31"/>
        <w:szCs w:val="31"/>
      </w:rPr>
      <w:t>18—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72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-100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19—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4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—20—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I5MjVmMzZjZTNhZWY2ZmY1MmVmYTBkMDI2OTE4MzcifQ=="/>
  </w:docVars>
  <w:rsids>
    <w:rsidRoot w:val="00000000"/>
    <w:rsid w:val="16D93F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2023-02-08T15:47:00Z</dcterms:created>
  <dc:creator>Kingsoft-PDF</dc:creator>
  <cp:lastModifiedBy>晓航</cp:lastModifiedBy>
  <dcterms:modified xsi:type="dcterms:W3CDTF">2023-02-08T07:46:59Z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2023-02-08T15:47:16Z</vt:filetime>
  </property>
  <property fmtid="{D5CDD505-2E9C-101B-9397-08002B2CF9AE}" pid="4" name="UsrData">
    <vt:lpwstr>63e353780c8b2900153464d8</vt:lpwstr>
  </property>
  <property fmtid="{D5CDD505-2E9C-101B-9397-08002B2CF9AE}" pid="5" name="KSOProductBuildVer">
    <vt:lpwstr>2052-11.1.0.13703</vt:lpwstr>
  </property>
  <property fmtid="{D5CDD505-2E9C-101B-9397-08002B2CF9AE}" pid="6" name="ICV">
    <vt:lpwstr>35079DBC1E534DA9BB3CBD9444690585</vt:lpwstr>
  </property>
</Properties>
</file>