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058" w:type="dxa"/>
        <w:jc w:val="center"/>
        <w:tblLayout w:type="fixed"/>
        <w:tblCellMar>
          <w:top w:w="0" w:type="dxa"/>
          <w:left w:w="108" w:type="dxa"/>
          <w:bottom w:w="0" w:type="dxa"/>
          <w:right w:w="108" w:type="dxa"/>
        </w:tblCellMar>
      </w:tblPr>
      <w:tblGrid>
        <w:gridCol w:w="808"/>
        <w:gridCol w:w="1333"/>
        <w:gridCol w:w="1367"/>
        <w:gridCol w:w="750"/>
        <w:gridCol w:w="783"/>
        <w:gridCol w:w="1300"/>
        <w:gridCol w:w="7000"/>
        <w:gridCol w:w="717"/>
      </w:tblGrid>
      <w:tr>
        <w:tblPrEx>
          <w:tblCellMar>
            <w:top w:w="0" w:type="dxa"/>
            <w:left w:w="108" w:type="dxa"/>
            <w:bottom w:w="0" w:type="dxa"/>
            <w:right w:w="108" w:type="dxa"/>
          </w:tblCellMar>
        </w:tblPrEx>
        <w:trPr>
          <w:trHeight w:val="1070" w:hRule="atLeast"/>
          <w:jc w:val="center"/>
        </w:trPr>
        <w:tc>
          <w:tcPr>
            <w:tcW w:w="14058" w:type="dxa"/>
            <w:gridSpan w:val="8"/>
            <w:tcBorders>
              <w:top w:val="nil"/>
              <w:left w:val="nil"/>
              <w:bottom w:val="single" w:color="000000" w:sz="4" w:space="0"/>
              <w:right w:val="nil"/>
            </w:tcBorders>
            <w:shd w:val="clear" w:color="auto" w:fill="auto"/>
            <w:vAlign w:val="center"/>
          </w:tcPr>
          <w:p>
            <w:pPr>
              <w:textAlignment w:val="center"/>
              <w:rPr>
                <w:rFonts w:hint="eastAsia" w:ascii="方正小标宋简体" w:hAnsi="方正小标宋简体" w:eastAsia="方正小标宋简体" w:cs="方正小标宋简体"/>
                <w:color w:val="000000"/>
                <w:sz w:val="36"/>
                <w:szCs w:val="36"/>
                <w:lang w:bidi="ar"/>
              </w:rPr>
            </w:pPr>
            <w:r>
              <w:rPr>
                <w:rFonts w:hint="eastAsia" w:ascii="仿宋_GB2312" w:hAnsi="仿宋_GB2312" w:eastAsia="仿宋_GB2312" w:cs="仿宋_GB2312"/>
                <w:color w:val="000000"/>
                <w:sz w:val="32"/>
                <w:szCs w:val="32"/>
                <w:lang w:bidi="ar"/>
              </w:rPr>
              <w:t>附件1：</w:t>
            </w:r>
            <w:r>
              <w:rPr>
                <w:rFonts w:hint="eastAsia" w:ascii="方正小标宋简体" w:hAnsi="方正小标宋简体" w:eastAsia="方正小标宋简体" w:cs="方正小标宋简体"/>
                <w:color w:val="000000"/>
                <w:sz w:val="36"/>
                <w:szCs w:val="36"/>
                <w:lang w:bidi="ar"/>
              </w:rPr>
              <w:t xml:space="preserve">   </w:t>
            </w:r>
          </w:p>
          <w:p>
            <w:pPr>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bidi="ar"/>
              </w:rPr>
              <w:t>六安城市建设投资有限公司2025年度公开招聘工作人员基本情况一览表</w:t>
            </w:r>
          </w:p>
        </w:tc>
      </w:tr>
      <w:tr>
        <w:tblPrEx>
          <w:tblCellMar>
            <w:top w:w="0" w:type="dxa"/>
            <w:left w:w="108" w:type="dxa"/>
            <w:bottom w:w="0" w:type="dxa"/>
            <w:right w:w="108" w:type="dxa"/>
          </w:tblCellMar>
        </w:tblPrEx>
        <w:trPr>
          <w:trHeight w:val="479"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b/>
                <w:bCs/>
                <w:color w:val="000000"/>
                <w:sz w:val="24"/>
              </w:rPr>
            </w:pPr>
            <w:r>
              <w:rPr>
                <w:rFonts w:hint="eastAsia" w:ascii="宋体" w:hAnsi="宋体" w:eastAsia="宋体" w:cs="宋体"/>
                <w:b/>
                <w:bCs/>
                <w:color w:val="000000"/>
                <w:sz w:val="24"/>
                <w:lang w:bidi="ar"/>
              </w:rPr>
              <w:t>岗位编号</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b/>
                <w:bCs/>
                <w:color w:val="000000"/>
                <w:sz w:val="24"/>
              </w:rPr>
            </w:pPr>
            <w:r>
              <w:rPr>
                <w:rFonts w:hint="eastAsia" w:ascii="宋体" w:hAnsi="宋体" w:eastAsia="宋体" w:cs="宋体"/>
                <w:b/>
                <w:bCs/>
                <w:color w:val="000000"/>
                <w:sz w:val="24"/>
                <w:lang w:bidi="ar"/>
              </w:rPr>
              <w:t>招聘单位</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b/>
                <w:bCs/>
                <w:color w:val="000000"/>
                <w:sz w:val="24"/>
              </w:rPr>
            </w:pPr>
            <w:r>
              <w:rPr>
                <w:rFonts w:hint="eastAsia" w:ascii="宋体" w:hAnsi="宋体" w:eastAsia="宋体" w:cs="宋体"/>
                <w:b/>
                <w:bCs/>
                <w:color w:val="000000"/>
                <w:sz w:val="24"/>
                <w:lang w:bidi="ar"/>
              </w:rPr>
              <w:t>岗位名称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b/>
                <w:bCs/>
                <w:color w:val="000000"/>
                <w:sz w:val="24"/>
              </w:rPr>
            </w:pPr>
            <w:r>
              <w:rPr>
                <w:rFonts w:hint="eastAsia" w:ascii="宋体" w:hAnsi="宋体" w:eastAsia="宋体" w:cs="宋体"/>
                <w:b/>
                <w:bCs/>
                <w:color w:val="000000"/>
                <w:sz w:val="24"/>
                <w:lang w:bidi="ar"/>
              </w:rPr>
              <w:t>招聘人数</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b/>
                <w:bCs/>
                <w:color w:val="000000"/>
                <w:sz w:val="24"/>
              </w:rPr>
            </w:pPr>
            <w:r>
              <w:rPr>
                <w:rFonts w:hint="eastAsia" w:ascii="宋体" w:hAnsi="宋体" w:eastAsia="宋体" w:cs="宋体"/>
                <w:b/>
                <w:bCs/>
                <w:color w:val="000000"/>
                <w:sz w:val="24"/>
                <w:lang w:bidi="ar"/>
              </w:rPr>
              <w:t>学历</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b/>
                <w:bCs/>
                <w:color w:val="000000"/>
                <w:sz w:val="24"/>
              </w:rPr>
            </w:pPr>
            <w:r>
              <w:rPr>
                <w:rFonts w:hint="eastAsia" w:ascii="宋体" w:hAnsi="宋体" w:eastAsia="宋体" w:cs="宋体"/>
                <w:b/>
                <w:bCs/>
                <w:color w:val="000000"/>
                <w:sz w:val="24"/>
                <w:lang w:bidi="ar"/>
              </w:rPr>
              <w:t>需求专业</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b/>
                <w:bCs/>
                <w:color w:val="000000"/>
                <w:sz w:val="24"/>
              </w:rPr>
            </w:pPr>
            <w:r>
              <w:rPr>
                <w:rFonts w:hint="eastAsia" w:ascii="宋体" w:hAnsi="宋体" w:eastAsia="宋体" w:cs="宋体"/>
                <w:b/>
                <w:bCs/>
                <w:color w:val="000000"/>
                <w:sz w:val="24"/>
                <w:lang w:bidi="ar"/>
              </w:rPr>
              <w:t>其他条件要求</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b/>
                <w:bCs/>
                <w:color w:val="000000"/>
                <w:sz w:val="24"/>
              </w:rPr>
            </w:pPr>
            <w:r>
              <w:rPr>
                <w:rFonts w:hint="eastAsia" w:ascii="宋体" w:hAnsi="宋体" w:eastAsia="宋体" w:cs="宋体"/>
                <w:b/>
                <w:bCs/>
                <w:color w:val="000000"/>
                <w:sz w:val="24"/>
                <w:lang w:bidi="ar"/>
              </w:rPr>
              <w:t>备注</w:t>
            </w:r>
          </w:p>
        </w:tc>
      </w:tr>
      <w:tr>
        <w:tblPrEx>
          <w:tblCellMar>
            <w:top w:w="0" w:type="dxa"/>
            <w:left w:w="108" w:type="dxa"/>
            <w:bottom w:w="0" w:type="dxa"/>
            <w:right w:w="108" w:type="dxa"/>
          </w:tblCellMar>
        </w:tblPrEx>
        <w:trPr>
          <w:trHeight w:val="1252"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CT001</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六安城市建设投资有限公司</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宋体" w:hAnsi="宋体" w:eastAsia="宋体" w:cs="宋体"/>
                <w:color w:val="000000"/>
                <w:sz w:val="20"/>
                <w:szCs w:val="20"/>
                <w:lang w:bidi="ar"/>
              </w:rPr>
            </w:pPr>
            <w:r>
              <w:rPr>
                <w:rFonts w:hint="eastAsia" w:ascii="宋体" w:hAnsi="宋体" w:eastAsia="宋体" w:cs="宋体"/>
                <w:color w:val="000000"/>
                <w:sz w:val="20"/>
                <w:szCs w:val="20"/>
                <w:lang w:bidi="ar"/>
              </w:rPr>
              <w:t>融资管理岗</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（业务主管）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本科及以上学历</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工商管理类、经济学类、金融学类专业</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35周岁及以下，持有中级会计师及以上职称证书；具备3年以上融资相关工作经验，有5个以上落地的融资项目，融资到位资金额度不低于3亿元；特别优秀者（硕士研究生及以上学历或持有高级会计师或注册会计师证书或具有5年以上银行等金融机构相关工作经验者）可适当放宽年龄至40周岁。</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rPr>
                <w:rFonts w:ascii="宋体" w:hAnsi="宋体" w:eastAsia="宋体" w:cs="宋体"/>
                <w:color w:val="000000"/>
                <w:sz w:val="16"/>
                <w:szCs w:val="16"/>
              </w:rPr>
            </w:pPr>
          </w:p>
        </w:tc>
      </w:tr>
      <w:tr>
        <w:tblPrEx>
          <w:tblCellMar>
            <w:top w:w="0" w:type="dxa"/>
            <w:left w:w="108" w:type="dxa"/>
            <w:bottom w:w="0" w:type="dxa"/>
            <w:right w:w="108" w:type="dxa"/>
          </w:tblCellMar>
        </w:tblPrEx>
        <w:trPr>
          <w:trHeight w:val="768"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CT002</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宋体" w:hAnsi="宋体" w:eastAsia="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宋体" w:hAnsi="宋体" w:eastAsia="宋体" w:cs="宋体"/>
                <w:color w:val="000000"/>
                <w:sz w:val="20"/>
                <w:szCs w:val="20"/>
                <w:lang w:bidi="ar"/>
              </w:rPr>
            </w:pPr>
            <w:r>
              <w:rPr>
                <w:rFonts w:hint="eastAsia" w:ascii="宋体" w:hAnsi="宋体" w:eastAsia="宋体" w:cs="宋体"/>
                <w:color w:val="000000"/>
                <w:sz w:val="20"/>
                <w:szCs w:val="20"/>
                <w:lang w:bidi="ar"/>
              </w:rPr>
              <w:t>财务管理岗</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（业务主管）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本科及以上学历</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会计学、财务管理、审计学、金融学类专业</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35周岁及以下，持有中级会计师及以上职称证书；具有5年及以上企业财务管理工作经验；特别优秀者（持有高级会计师或注册会计师证书）可适当放宽年龄至40周岁。</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rPr>
                <w:rFonts w:ascii="宋体" w:hAnsi="宋体" w:eastAsia="宋体" w:cs="宋体"/>
                <w:color w:val="000000"/>
                <w:sz w:val="16"/>
                <w:szCs w:val="16"/>
              </w:rPr>
            </w:pPr>
          </w:p>
        </w:tc>
      </w:tr>
      <w:tr>
        <w:tblPrEx>
          <w:tblCellMar>
            <w:top w:w="0" w:type="dxa"/>
            <w:left w:w="108" w:type="dxa"/>
            <w:bottom w:w="0" w:type="dxa"/>
            <w:right w:w="108" w:type="dxa"/>
          </w:tblCellMar>
        </w:tblPrEx>
        <w:trPr>
          <w:trHeight w:val="1414"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CT003</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宋体" w:hAnsi="宋体" w:eastAsia="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宋体" w:hAnsi="宋体" w:eastAsia="宋体" w:cs="宋体"/>
                <w:color w:val="000000"/>
                <w:sz w:val="20"/>
                <w:szCs w:val="20"/>
                <w:lang w:bidi="ar"/>
              </w:rPr>
            </w:pPr>
            <w:r>
              <w:rPr>
                <w:rFonts w:hint="eastAsia" w:ascii="宋体" w:hAnsi="宋体" w:eastAsia="宋体" w:cs="宋体"/>
                <w:color w:val="000000"/>
                <w:sz w:val="20"/>
                <w:szCs w:val="20"/>
                <w:lang w:bidi="ar"/>
              </w:rPr>
              <w:t>投资管理岗</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（业务主管）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本科及以上学历</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工商管理类、经济学类、金融学类专业</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35周岁及以下，具有5年以上金融机构、国企投资运营管理工作经验；特别优秀者【硕士研究生及以上学历或持有CFA（特许金融分析师）、CPA（注册会计师）证书、律师资格证A证者或，有对应投资及资本运营部门副职及以上中层管理经验或具有知名基金、咨询、券商等2年以上工作经验】可适当放宽年龄至40周岁。</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rPr>
                <w:rFonts w:ascii="宋体" w:hAnsi="宋体" w:eastAsia="宋体" w:cs="宋体"/>
                <w:color w:val="000000"/>
                <w:sz w:val="16"/>
                <w:szCs w:val="16"/>
              </w:rPr>
            </w:pPr>
          </w:p>
        </w:tc>
      </w:tr>
      <w:tr>
        <w:tblPrEx>
          <w:tblCellMar>
            <w:top w:w="0" w:type="dxa"/>
            <w:left w:w="108" w:type="dxa"/>
            <w:bottom w:w="0" w:type="dxa"/>
            <w:right w:w="108" w:type="dxa"/>
          </w:tblCellMar>
        </w:tblPrEx>
        <w:trPr>
          <w:trHeight w:val="961"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JT001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六安市交通基础设施建设投资有限公司</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宋体" w:hAnsi="宋体" w:eastAsia="宋体" w:cs="宋体"/>
                <w:color w:val="000000"/>
                <w:sz w:val="20"/>
                <w:szCs w:val="20"/>
                <w:lang w:bidi="ar"/>
              </w:rPr>
            </w:pPr>
            <w:r>
              <w:rPr>
                <w:rFonts w:hint="eastAsia" w:ascii="宋体" w:hAnsi="宋体" w:eastAsia="宋体" w:cs="宋体"/>
                <w:color w:val="000000"/>
                <w:sz w:val="20"/>
                <w:szCs w:val="20"/>
                <w:lang w:bidi="ar"/>
              </w:rPr>
              <w:t>工程管理岗</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（副部长）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本科及以上学历</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土木类、建筑类专业</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35周岁及以下，具备5年及以上工程现场管理相关从业经验；特别优秀者（持有一级建造师及以上职业资格证书等）可适当放宽年龄至40周岁。</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rPr>
                <w:rFonts w:ascii="宋体" w:hAnsi="宋体" w:eastAsia="宋体" w:cs="宋体"/>
                <w:color w:val="000000"/>
                <w:sz w:val="16"/>
                <w:szCs w:val="16"/>
              </w:rPr>
            </w:pPr>
          </w:p>
        </w:tc>
      </w:tr>
      <w:tr>
        <w:tblPrEx>
          <w:tblCellMar>
            <w:top w:w="0" w:type="dxa"/>
            <w:left w:w="108" w:type="dxa"/>
            <w:bottom w:w="0" w:type="dxa"/>
            <w:right w:w="108" w:type="dxa"/>
          </w:tblCellMar>
        </w:tblPrEx>
        <w:trPr>
          <w:trHeight w:val="1166"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ST001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六安市水务投资有限公司</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color w:val="000000"/>
                <w:sz w:val="20"/>
                <w:szCs w:val="20"/>
                <w:lang w:bidi="ar"/>
              </w:rPr>
            </w:pPr>
            <w:r>
              <w:rPr>
                <w:rFonts w:hint="eastAsia" w:ascii="宋体" w:hAnsi="宋体" w:eastAsia="宋体" w:cs="宋体"/>
                <w:color w:val="000000"/>
                <w:sz w:val="20"/>
                <w:szCs w:val="20"/>
                <w:lang w:bidi="ar"/>
              </w:rPr>
              <w:t>财务管理岗</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（副部长）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本科及以上学历</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会计学、财务管理、审计学、金融学类专业</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35周岁及以下，持有中级会计师及以上职称证书，具有5年及以上企业财务工作经验；特别优秀者（持有高级会计师或注册会计师证书）可适当放宽年龄至40周岁。</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36"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textAlignment w:val="center"/>
              <w:rPr>
                <w:rFonts w:ascii="宋体" w:hAnsi="宋体" w:eastAsia="宋体" w:cs="宋体"/>
                <w:b/>
                <w:bCs/>
                <w:color w:val="000000"/>
                <w:sz w:val="24"/>
              </w:rPr>
            </w:pPr>
            <w:r>
              <w:rPr>
                <w:rFonts w:hint="eastAsia" w:ascii="宋体" w:hAnsi="宋体" w:eastAsia="宋体" w:cs="宋体"/>
                <w:b/>
                <w:bCs/>
                <w:color w:val="000000"/>
                <w:sz w:val="24"/>
                <w:lang w:bidi="ar"/>
              </w:rPr>
              <w:t>合计</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宋体" w:hAnsi="宋体" w:eastAsia="宋体" w:cs="宋体"/>
                <w:b/>
                <w:bCs/>
                <w:color w:val="000000"/>
                <w:sz w:val="24"/>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宋体" w:hAnsi="宋体" w:eastAsia="宋体" w:cs="宋体"/>
                <w:b/>
                <w:bCs/>
                <w:color w:val="000000"/>
                <w:sz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b/>
                <w:bCs/>
                <w:color w:val="000000"/>
                <w:sz w:val="24"/>
              </w:rPr>
            </w:pPr>
            <w:r>
              <w:rPr>
                <w:rFonts w:hint="eastAsia" w:ascii="宋体" w:hAnsi="宋体" w:eastAsia="宋体" w:cs="宋体"/>
                <w:b/>
                <w:bCs/>
                <w:color w:val="000000"/>
                <w:sz w:val="24"/>
                <w:lang w:bidi="ar"/>
              </w:rPr>
              <w:t>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宋体" w:hAnsi="宋体" w:eastAsia="宋体" w:cs="宋体"/>
                <w:b/>
                <w:bCs/>
                <w:color w:val="000000"/>
                <w:sz w:val="24"/>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宋体" w:hAnsi="宋体" w:eastAsia="宋体" w:cs="宋体"/>
                <w:color w:val="000000"/>
                <w:sz w:val="20"/>
                <w:szCs w:val="20"/>
              </w:rPr>
            </w:pPr>
          </w:p>
        </w:tc>
        <w:tc>
          <w:tcPr>
            <w:tcW w:w="7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宋体" w:hAnsi="宋体" w:eastAsia="宋体" w:cs="宋体"/>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rPr>
                <w:rFonts w:ascii="宋体" w:hAnsi="宋体" w:eastAsia="宋体" w:cs="宋体"/>
                <w:color w:val="000000"/>
                <w:sz w:val="18"/>
                <w:szCs w:val="18"/>
              </w:rPr>
            </w:pPr>
          </w:p>
        </w:tc>
      </w:tr>
    </w:tbl>
    <w:p>
      <w:bookmarkStart w:id="0" w:name="_GoBack"/>
      <w:bookmarkEnd w:id="0"/>
    </w:p>
    <w:sectPr>
      <w:pgSz w:w="16838" w:h="11906" w:orient="landscape"/>
      <w:pgMar w:top="1349" w:right="1440" w:bottom="134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811AA"/>
    <w:rsid w:val="1B8E3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2025-04-10T06:43:00Z</dcterms:created>
  <dc:creator>Administrator</dc:creator>
  <cp:lastModifiedBy>乱室小主</cp:lastModifiedBy>
  <dcterms:modified xsi:type="dcterms:W3CDTF">2025-04-10T06:53:31Z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