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F5A9C7">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b w:val="0"/>
          <w:bCs w:val="0"/>
          <w:color w:val="auto"/>
          <w:sz w:val="32"/>
          <w:szCs w:val="32"/>
          <w:lang w:val="en-US" w:eastAsia="zh-CN"/>
        </w:rPr>
      </w:pPr>
      <w:bookmarkStart w:id="1" w:name="_GoBack"/>
      <w:r>
        <w:rPr>
          <w:rFonts w:hint="default" w:ascii="Times New Roman" w:hAnsi="Times New Roman" w:eastAsia="黑体" w:cs="Times New Roman"/>
          <w:b w:val="0"/>
          <w:bCs w:val="0"/>
          <w:color w:val="auto"/>
          <w:sz w:val="32"/>
          <w:szCs w:val="32"/>
          <w:lang w:val="en-US" w:eastAsia="zh-CN"/>
        </w:rPr>
        <w:t>附件5</w:t>
      </w:r>
    </w:p>
    <w:p w14:paraId="7D82B730">
      <w:pPr>
        <w:pStyle w:val="3"/>
        <w:ind w:left="0" w:leftChars="0" w:firstLine="0" w:firstLineChars="0"/>
        <w:jc w:val="center"/>
        <w:rPr>
          <w:rFonts w:hint="default" w:ascii="Times New Roman" w:hAnsi="Times New Roman" w:eastAsia="方正小标宋简体" w:cs="Times New Roman"/>
          <w:b w:val="0"/>
          <w:bCs w:val="0"/>
          <w:color w:val="auto"/>
          <w:sz w:val="44"/>
          <w:szCs w:val="44"/>
          <w:lang w:val="en-US" w:eastAsia="zh-CN"/>
        </w:rPr>
      </w:pPr>
      <w:r>
        <w:rPr>
          <w:rFonts w:hint="default" w:ascii="Times New Roman" w:hAnsi="Times New Roman" w:eastAsia="方正小标宋简体" w:cs="Times New Roman"/>
          <w:b w:val="0"/>
          <w:bCs w:val="0"/>
          <w:color w:val="auto"/>
          <w:sz w:val="44"/>
          <w:szCs w:val="44"/>
          <w:lang w:val="en-US" w:eastAsia="zh-CN"/>
        </w:rPr>
        <w:t>综合</w:t>
      </w:r>
      <w:r>
        <w:rPr>
          <w:rFonts w:hint="default" w:ascii="Times New Roman" w:hAnsi="Times New Roman" w:eastAsia="方正小标宋简体" w:cs="Times New Roman"/>
          <w:b w:val="0"/>
          <w:bCs w:val="0"/>
          <w:color w:val="auto"/>
          <w:sz w:val="44"/>
          <w:szCs w:val="44"/>
          <w:lang w:eastAsia="zh-CN"/>
        </w:rPr>
        <w:t>评价</w:t>
      </w:r>
      <w:r>
        <w:rPr>
          <w:rFonts w:hint="default" w:ascii="Times New Roman" w:hAnsi="Times New Roman" w:eastAsia="方正小标宋简体" w:cs="Times New Roman"/>
          <w:b w:val="0"/>
          <w:bCs w:val="0"/>
          <w:color w:val="auto"/>
          <w:sz w:val="44"/>
          <w:szCs w:val="44"/>
          <w:lang w:val="en-US" w:eastAsia="zh-CN"/>
        </w:rPr>
        <w:t>表（建筑工程专业）</w:t>
      </w:r>
    </w:p>
    <w:bookmarkEnd w:id="1"/>
    <w:p w14:paraId="36AD7818">
      <w:pPr>
        <w:pStyle w:val="3"/>
        <w:ind w:left="0" w:leftChars="0" w:firstLine="0" w:firstLineChars="0"/>
        <w:jc w:val="both"/>
        <w:rPr>
          <w:rFonts w:hint="default" w:ascii="Times New Roman" w:hAnsi="Times New Roman" w:eastAsia="仿宋_GB2312" w:cs="Times New Roman"/>
          <w:color w:val="auto"/>
          <w:sz w:val="15"/>
          <w:szCs w:val="18"/>
          <w:lang w:val="en-US" w:eastAsia="zh-CN"/>
        </w:rPr>
      </w:pPr>
      <w:r>
        <w:rPr>
          <w:rFonts w:hint="default" w:ascii="Times New Roman" w:hAnsi="Times New Roman" w:eastAsia="仿宋_GB2312" w:cs="Times New Roman"/>
          <w:b w:val="0"/>
          <w:bCs w:val="0"/>
          <w:color w:val="auto"/>
          <w:sz w:val="28"/>
          <w:szCs w:val="28"/>
          <w:lang w:val="en-US" w:eastAsia="zh-CN"/>
        </w:rPr>
        <w:t>应聘岗位：                                      姓名：</w:t>
      </w:r>
    </w:p>
    <w:tbl>
      <w:tblPr>
        <w:tblStyle w:val="5"/>
        <w:tblW w:w="0" w:type="auto"/>
        <w:tblInd w:w="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0"/>
        <w:gridCol w:w="930"/>
        <w:gridCol w:w="3460"/>
        <w:gridCol w:w="1939"/>
        <w:gridCol w:w="1091"/>
      </w:tblGrid>
      <w:tr w14:paraId="0865B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490" w:type="dxa"/>
            <w:noWrap w:val="0"/>
            <w:vAlign w:val="center"/>
          </w:tcPr>
          <w:p w14:paraId="783A096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黑体" w:cs="Times New Roman"/>
                <w:b/>
                <w:bCs w:val="0"/>
                <w:color w:val="auto"/>
                <w:sz w:val="32"/>
                <w:szCs w:val="32"/>
                <w:highlight w:val="none"/>
                <w:vertAlign w:val="baseline"/>
                <w:lang w:val="en-US" w:eastAsia="zh-CN"/>
              </w:rPr>
            </w:pPr>
            <w:r>
              <w:rPr>
                <w:rFonts w:hint="default" w:ascii="Times New Roman" w:hAnsi="Times New Roman" w:eastAsia="宋体" w:cs="Times New Roman"/>
                <w:b/>
                <w:bCs w:val="0"/>
                <w:i w:val="0"/>
                <w:color w:val="auto"/>
                <w:kern w:val="0"/>
                <w:sz w:val="32"/>
                <w:szCs w:val="32"/>
                <w:highlight w:val="none"/>
                <w:u w:val="none"/>
                <w:lang w:val="en-US" w:eastAsia="zh-CN" w:bidi="ar"/>
              </w:rPr>
              <w:t>项目</w:t>
            </w:r>
          </w:p>
        </w:tc>
        <w:tc>
          <w:tcPr>
            <w:tcW w:w="930" w:type="dxa"/>
            <w:noWrap w:val="0"/>
            <w:vAlign w:val="center"/>
          </w:tcPr>
          <w:p w14:paraId="342443B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黑体" w:cs="Times New Roman"/>
                <w:b/>
                <w:bCs w:val="0"/>
                <w:color w:val="auto"/>
                <w:sz w:val="32"/>
                <w:szCs w:val="32"/>
                <w:highlight w:val="none"/>
                <w:vertAlign w:val="baseline"/>
                <w:lang w:val="en-US" w:eastAsia="zh-CN"/>
              </w:rPr>
            </w:pPr>
            <w:r>
              <w:rPr>
                <w:rFonts w:hint="default" w:ascii="Times New Roman" w:hAnsi="Times New Roman" w:eastAsia="宋体" w:cs="Times New Roman"/>
                <w:b/>
                <w:bCs w:val="0"/>
                <w:i w:val="0"/>
                <w:color w:val="auto"/>
                <w:kern w:val="0"/>
                <w:sz w:val="32"/>
                <w:szCs w:val="32"/>
                <w:highlight w:val="none"/>
                <w:u w:val="none"/>
                <w:lang w:val="en-US" w:eastAsia="zh-CN" w:bidi="ar"/>
              </w:rPr>
              <w:t>分值</w:t>
            </w:r>
          </w:p>
        </w:tc>
        <w:tc>
          <w:tcPr>
            <w:tcW w:w="3460" w:type="dxa"/>
            <w:noWrap w:val="0"/>
            <w:vAlign w:val="center"/>
          </w:tcPr>
          <w:p w14:paraId="3F4156E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黑体" w:cs="Times New Roman"/>
                <w:b/>
                <w:bCs w:val="0"/>
                <w:color w:val="auto"/>
                <w:sz w:val="32"/>
                <w:szCs w:val="32"/>
                <w:highlight w:val="none"/>
                <w:vertAlign w:val="baseline"/>
                <w:lang w:val="en-US" w:eastAsia="zh-CN"/>
              </w:rPr>
            </w:pPr>
            <w:r>
              <w:rPr>
                <w:rFonts w:hint="default" w:ascii="Times New Roman" w:hAnsi="Times New Roman" w:eastAsia="宋体" w:cs="Times New Roman"/>
                <w:b/>
                <w:bCs w:val="0"/>
                <w:i w:val="0"/>
                <w:color w:val="auto"/>
                <w:kern w:val="0"/>
                <w:sz w:val="32"/>
                <w:szCs w:val="32"/>
                <w:highlight w:val="none"/>
                <w:u w:val="none"/>
                <w:lang w:val="en-US" w:eastAsia="zh-CN" w:bidi="ar"/>
              </w:rPr>
              <w:t>打分标准</w:t>
            </w:r>
          </w:p>
        </w:tc>
        <w:tc>
          <w:tcPr>
            <w:tcW w:w="1939" w:type="dxa"/>
            <w:noWrap w:val="0"/>
            <w:vAlign w:val="center"/>
          </w:tcPr>
          <w:p w14:paraId="0C8D769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val="0"/>
                <w:i w:val="0"/>
                <w:color w:val="auto"/>
                <w:kern w:val="0"/>
                <w:sz w:val="32"/>
                <w:szCs w:val="32"/>
                <w:highlight w:val="none"/>
                <w:u w:val="none"/>
                <w:lang w:val="en-US" w:eastAsia="zh-CN" w:bidi="ar"/>
              </w:rPr>
            </w:pPr>
            <w:r>
              <w:rPr>
                <w:rFonts w:hint="default" w:ascii="Times New Roman" w:hAnsi="Times New Roman" w:cs="Times New Roman"/>
                <w:b/>
                <w:bCs w:val="0"/>
                <w:i w:val="0"/>
                <w:color w:val="auto"/>
                <w:kern w:val="0"/>
                <w:sz w:val="32"/>
                <w:szCs w:val="32"/>
                <w:highlight w:val="none"/>
                <w:u w:val="none"/>
                <w:lang w:val="en-US" w:eastAsia="zh-CN" w:bidi="ar"/>
              </w:rPr>
              <w:t>佐证材料</w:t>
            </w:r>
          </w:p>
        </w:tc>
        <w:tc>
          <w:tcPr>
            <w:tcW w:w="1091" w:type="dxa"/>
            <w:noWrap w:val="0"/>
            <w:vAlign w:val="center"/>
          </w:tcPr>
          <w:p w14:paraId="34D8E0B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cs="Times New Roman"/>
                <w:b/>
                <w:bCs w:val="0"/>
                <w:i w:val="0"/>
                <w:color w:val="auto"/>
                <w:kern w:val="0"/>
                <w:sz w:val="32"/>
                <w:szCs w:val="32"/>
                <w:highlight w:val="none"/>
                <w:u w:val="none"/>
                <w:lang w:val="en-US" w:eastAsia="zh-CN" w:bidi="ar"/>
              </w:rPr>
            </w:pPr>
            <w:r>
              <w:rPr>
                <w:rFonts w:hint="default" w:ascii="Times New Roman" w:hAnsi="Times New Roman" w:cs="Times New Roman"/>
                <w:b/>
                <w:bCs w:val="0"/>
                <w:i w:val="0"/>
                <w:color w:val="auto"/>
                <w:kern w:val="0"/>
                <w:sz w:val="32"/>
                <w:szCs w:val="32"/>
                <w:highlight w:val="none"/>
                <w:u w:val="none"/>
                <w:lang w:val="en-US" w:eastAsia="zh-CN" w:bidi="ar"/>
              </w:rPr>
              <w:t>得分</w:t>
            </w:r>
          </w:p>
        </w:tc>
      </w:tr>
      <w:tr w14:paraId="6FEBE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trPr>
        <w:tc>
          <w:tcPr>
            <w:tcW w:w="1490" w:type="dxa"/>
            <w:noWrap w:val="0"/>
            <w:vAlign w:val="center"/>
          </w:tcPr>
          <w:p w14:paraId="3DB6322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_GB2312" w:cs="Times New Roman"/>
                <w:b/>
                <w:bCs/>
                <w:color w:val="auto"/>
                <w:sz w:val="28"/>
                <w:szCs w:val="28"/>
                <w:highlight w:val="none"/>
                <w:shd w:val="clear" w:color="auto" w:fill="auto"/>
                <w:lang w:val="en-US" w:eastAsia="zh-CN"/>
              </w:rPr>
            </w:pPr>
            <w:r>
              <w:rPr>
                <w:rFonts w:hint="default" w:ascii="Times New Roman" w:hAnsi="Times New Roman" w:eastAsia="仿宋_GB2312" w:cs="Times New Roman"/>
                <w:b/>
                <w:bCs/>
                <w:color w:val="auto"/>
                <w:sz w:val="28"/>
                <w:szCs w:val="28"/>
                <w:highlight w:val="none"/>
                <w:shd w:val="clear" w:color="auto" w:fill="auto"/>
                <w:lang w:val="en-US" w:eastAsia="zh-CN"/>
              </w:rPr>
              <w:t>技术分</w:t>
            </w:r>
          </w:p>
        </w:tc>
        <w:tc>
          <w:tcPr>
            <w:tcW w:w="930" w:type="dxa"/>
            <w:noWrap w:val="0"/>
            <w:vAlign w:val="center"/>
          </w:tcPr>
          <w:p w14:paraId="7D7A0A9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_GB2312" w:cs="Times New Roman"/>
                <w:i w:val="0"/>
                <w:color w:val="auto"/>
                <w:kern w:val="0"/>
                <w:sz w:val="24"/>
                <w:szCs w:val="24"/>
                <w:highlight w:val="none"/>
                <w:u w:val="none"/>
                <w:lang w:val="en-US" w:eastAsia="zh-CN" w:bidi="ar"/>
              </w:rPr>
            </w:pPr>
            <w:r>
              <w:rPr>
                <w:rFonts w:hint="default" w:ascii="Times New Roman" w:hAnsi="Times New Roman" w:eastAsia="仿宋_GB2312" w:cs="Times New Roman"/>
                <w:i w:val="0"/>
                <w:color w:val="auto"/>
                <w:kern w:val="0"/>
                <w:sz w:val="24"/>
                <w:szCs w:val="24"/>
                <w:highlight w:val="none"/>
                <w:u w:val="none"/>
                <w:lang w:val="en-US" w:eastAsia="zh-CN" w:bidi="ar"/>
              </w:rPr>
              <w:t>10</w:t>
            </w:r>
          </w:p>
        </w:tc>
        <w:tc>
          <w:tcPr>
            <w:tcW w:w="3460" w:type="dxa"/>
            <w:noWrap w:val="0"/>
            <w:vAlign w:val="center"/>
          </w:tcPr>
          <w:p w14:paraId="30BE102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_GB2312" w:cs="Times New Roman"/>
                <w:color w:val="auto"/>
                <w:sz w:val="24"/>
                <w:szCs w:val="24"/>
                <w:highlight w:val="none"/>
                <w:shd w:val="clear" w:color="auto" w:fill="auto"/>
                <w:lang w:val="en-US" w:eastAsia="zh-CN"/>
              </w:rPr>
            </w:pPr>
            <w:r>
              <w:rPr>
                <w:rFonts w:hint="default" w:ascii="Times New Roman" w:hAnsi="Times New Roman" w:eastAsia="仿宋_GB2312" w:cs="Times New Roman"/>
                <w:color w:val="auto"/>
                <w:sz w:val="24"/>
                <w:szCs w:val="24"/>
                <w:highlight w:val="none"/>
                <w:shd w:val="clear" w:color="auto" w:fill="auto"/>
                <w:lang w:val="en-US" w:eastAsia="zh-CN"/>
              </w:rPr>
              <w:t>一级建造师</w:t>
            </w:r>
            <w:r>
              <w:rPr>
                <w:rFonts w:hint="default" w:ascii="Times New Roman" w:hAnsi="Times New Roman" w:eastAsia="仿宋_GB2312" w:cs="Times New Roman"/>
                <w:b/>
                <w:bCs/>
                <w:color w:val="auto"/>
                <w:sz w:val="24"/>
                <w:szCs w:val="24"/>
                <w:highlight w:val="none"/>
                <w:shd w:val="clear" w:color="auto" w:fill="auto"/>
                <w:lang w:val="en-US" w:eastAsia="zh-CN"/>
              </w:rPr>
              <w:t>（10分）；</w:t>
            </w:r>
          </w:p>
          <w:p w14:paraId="47F1D13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highlight w:val="none"/>
                <w:shd w:val="clear" w:color="auto" w:fill="auto"/>
                <w:lang w:val="en-US" w:eastAsia="zh-CN"/>
              </w:rPr>
              <w:t>二级建造师</w:t>
            </w:r>
            <w:r>
              <w:rPr>
                <w:rFonts w:hint="default" w:ascii="Times New Roman" w:hAnsi="Times New Roman" w:eastAsia="仿宋_GB2312" w:cs="Times New Roman"/>
                <w:b/>
                <w:bCs/>
                <w:color w:val="auto"/>
                <w:sz w:val="24"/>
                <w:szCs w:val="24"/>
                <w:highlight w:val="none"/>
                <w:shd w:val="clear" w:color="auto" w:fill="auto"/>
                <w:lang w:val="en-US" w:eastAsia="zh-CN"/>
              </w:rPr>
              <w:t>（5分）</w:t>
            </w:r>
          </w:p>
        </w:tc>
        <w:tc>
          <w:tcPr>
            <w:tcW w:w="1939" w:type="dxa"/>
            <w:noWrap w:val="0"/>
            <w:vAlign w:val="center"/>
          </w:tcPr>
          <w:p w14:paraId="5B26172E">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i w:val="0"/>
                <w:caps w:val="0"/>
                <w:color w:val="auto"/>
                <w:spacing w:val="0"/>
                <w:kern w:val="2"/>
                <w:sz w:val="24"/>
                <w:szCs w:val="24"/>
                <w:shd w:val="clear" w:color="auto" w:fill="FFFFFF"/>
                <w:lang w:eastAsia="zh-CN" w:bidi="ar"/>
              </w:rPr>
            </w:pPr>
            <w:r>
              <w:rPr>
                <w:rFonts w:hint="default" w:ascii="Times New Roman" w:hAnsi="Times New Roman" w:eastAsia="仿宋_GB2312" w:cs="Times New Roman"/>
                <w:i w:val="0"/>
                <w:caps w:val="0"/>
                <w:color w:val="auto"/>
                <w:spacing w:val="0"/>
                <w:kern w:val="2"/>
                <w:sz w:val="24"/>
                <w:szCs w:val="24"/>
                <w:shd w:val="clear" w:color="auto" w:fill="FFFFFF"/>
                <w:lang w:val="en-US" w:eastAsia="zh-CN" w:bidi="ar"/>
              </w:rPr>
              <w:t>证书原件及中国建造师网查询结果</w:t>
            </w:r>
          </w:p>
        </w:tc>
        <w:tc>
          <w:tcPr>
            <w:tcW w:w="1091" w:type="dxa"/>
            <w:noWrap w:val="0"/>
            <w:vAlign w:val="center"/>
          </w:tcPr>
          <w:p w14:paraId="6E6C1451">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i w:val="0"/>
                <w:caps w:val="0"/>
                <w:color w:val="auto"/>
                <w:spacing w:val="0"/>
                <w:kern w:val="2"/>
                <w:sz w:val="24"/>
                <w:szCs w:val="24"/>
                <w:shd w:val="clear" w:color="auto" w:fill="FFFFFF"/>
                <w:lang w:val="en-US" w:eastAsia="zh-CN" w:bidi="ar"/>
              </w:rPr>
            </w:pPr>
          </w:p>
        </w:tc>
      </w:tr>
      <w:tr w14:paraId="4D0B1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3" w:hRule="atLeast"/>
        </w:trPr>
        <w:tc>
          <w:tcPr>
            <w:tcW w:w="1490" w:type="dxa"/>
            <w:noWrap w:val="0"/>
            <w:vAlign w:val="center"/>
          </w:tcPr>
          <w:p w14:paraId="43FB29B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_GB2312" w:cs="Times New Roman"/>
                <w:b/>
                <w:bCs/>
                <w:color w:val="auto"/>
                <w:sz w:val="28"/>
                <w:szCs w:val="28"/>
                <w:highlight w:val="none"/>
                <w:shd w:val="clear" w:color="auto" w:fill="auto"/>
                <w:vertAlign w:val="baseline"/>
                <w:lang w:val="en-US" w:eastAsia="zh-CN"/>
              </w:rPr>
            </w:pPr>
            <w:r>
              <w:rPr>
                <w:rFonts w:hint="default" w:ascii="Times New Roman" w:hAnsi="Times New Roman" w:eastAsia="仿宋_GB2312" w:cs="Times New Roman"/>
                <w:b/>
                <w:bCs/>
                <w:color w:val="auto"/>
                <w:sz w:val="28"/>
                <w:szCs w:val="28"/>
                <w:highlight w:val="none"/>
                <w:shd w:val="clear" w:color="auto" w:fill="auto"/>
                <w:vertAlign w:val="baseline"/>
                <w:lang w:val="en-US" w:eastAsia="zh-CN"/>
              </w:rPr>
              <w:t>业绩分</w:t>
            </w:r>
          </w:p>
        </w:tc>
        <w:tc>
          <w:tcPr>
            <w:tcW w:w="930" w:type="dxa"/>
            <w:noWrap w:val="0"/>
            <w:vAlign w:val="center"/>
          </w:tcPr>
          <w:p w14:paraId="2260F69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_GB2312" w:cs="Times New Roman"/>
                <w:color w:val="auto"/>
                <w:sz w:val="24"/>
                <w:szCs w:val="24"/>
                <w:highlight w:val="none"/>
                <w:shd w:val="clear" w:color="auto" w:fill="auto"/>
                <w:vertAlign w:val="baseline"/>
                <w:lang w:val="en-US" w:eastAsia="zh-CN"/>
              </w:rPr>
            </w:pPr>
            <w:r>
              <w:rPr>
                <w:rFonts w:hint="default" w:ascii="Times New Roman" w:hAnsi="Times New Roman" w:eastAsia="仿宋_GB2312" w:cs="Times New Roman"/>
                <w:color w:val="auto"/>
                <w:sz w:val="24"/>
                <w:szCs w:val="24"/>
                <w:highlight w:val="none"/>
                <w:shd w:val="clear" w:color="auto" w:fill="auto"/>
                <w:vertAlign w:val="baseline"/>
                <w:lang w:val="en-US" w:eastAsia="zh-CN"/>
              </w:rPr>
              <w:t>20</w:t>
            </w:r>
          </w:p>
        </w:tc>
        <w:tc>
          <w:tcPr>
            <w:tcW w:w="3460" w:type="dxa"/>
            <w:noWrap w:val="0"/>
            <w:vAlign w:val="center"/>
          </w:tcPr>
          <w:p w14:paraId="4F845D7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i w:val="0"/>
                <w:color w:val="auto"/>
                <w:kern w:val="0"/>
                <w:sz w:val="24"/>
                <w:szCs w:val="24"/>
                <w:highlight w:val="none"/>
                <w:u w:val="none"/>
                <w:shd w:val="clear" w:color="auto" w:fill="auto"/>
                <w:lang w:val="en-US" w:eastAsia="zh-CN" w:bidi="ar"/>
              </w:rPr>
              <w:t>作为项目经理主持过单项合同造价</w:t>
            </w:r>
            <w:r>
              <w:rPr>
                <w:rFonts w:hint="eastAsia" w:ascii="Times New Roman" w:hAnsi="Times New Roman" w:eastAsia="仿宋_GB2312" w:cs="Times New Roman"/>
                <w:i w:val="0"/>
                <w:color w:val="auto"/>
                <w:kern w:val="0"/>
                <w:sz w:val="24"/>
                <w:szCs w:val="24"/>
                <w:highlight w:val="none"/>
                <w:u w:val="none"/>
                <w:shd w:val="clear" w:color="auto" w:fill="auto"/>
                <w:lang w:val="en-US" w:eastAsia="zh-CN" w:bidi="ar"/>
              </w:rPr>
              <w:t>24</w:t>
            </w:r>
            <w:r>
              <w:rPr>
                <w:rFonts w:hint="default" w:ascii="Times New Roman" w:hAnsi="Times New Roman" w:eastAsia="仿宋_GB2312" w:cs="Times New Roman"/>
                <w:i w:val="0"/>
                <w:color w:val="auto"/>
                <w:kern w:val="0"/>
                <w:sz w:val="24"/>
                <w:szCs w:val="24"/>
                <w:highlight w:val="none"/>
                <w:u w:val="none"/>
                <w:shd w:val="clear" w:color="auto" w:fill="auto"/>
                <w:lang w:val="en-US" w:eastAsia="zh-CN" w:bidi="ar"/>
              </w:rPr>
              <w:t>00（含）—</w:t>
            </w:r>
            <w:r>
              <w:rPr>
                <w:rFonts w:hint="eastAsia" w:ascii="Times New Roman" w:hAnsi="Times New Roman" w:eastAsia="仿宋_GB2312" w:cs="Times New Roman"/>
                <w:i w:val="0"/>
                <w:color w:val="auto"/>
                <w:kern w:val="0"/>
                <w:sz w:val="24"/>
                <w:szCs w:val="24"/>
                <w:highlight w:val="none"/>
                <w:u w:val="none"/>
                <w:shd w:val="clear" w:color="auto" w:fill="auto"/>
                <w:lang w:val="en-US" w:eastAsia="zh-CN" w:bidi="ar"/>
              </w:rPr>
              <w:t>32</w:t>
            </w:r>
            <w:r>
              <w:rPr>
                <w:rFonts w:hint="default" w:ascii="Times New Roman" w:hAnsi="Times New Roman" w:eastAsia="仿宋_GB2312" w:cs="Times New Roman"/>
                <w:i w:val="0"/>
                <w:color w:val="auto"/>
                <w:kern w:val="0"/>
                <w:sz w:val="24"/>
                <w:szCs w:val="24"/>
                <w:highlight w:val="none"/>
                <w:u w:val="none"/>
                <w:shd w:val="clear" w:color="auto" w:fill="auto"/>
                <w:lang w:val="en-US" w:eastAsia="zh-CN" w:bidi="ar"/>
              </w:rPr>
              <w:t>00万元（不含）的</w:t>
            </w:r>
            <w:r>
              <w:rPr>
                <w:rFonts w:hint="default" w:ascii="Times New Roman" w:hAnsi="Times New Roman" w:eastAsia="仿宋_GB2312" w:cs="Times New Roman"/>
                <w:b/>
                <w:bCs/>
                <w:i w:val="0"/>
                <w:color w:val="auto"/>
                <w:kern w:val="0"/>
                <w:sz w:val="24"/>
                <w:szCs w:val="24"/>
                <w:highlight w:val="none"/>
                <w:u w:val="none"/>
                <w:shd w:val="clear" w:color="auto" w:fill="auto"/>
                <w:lang w:val="en-US" w:eastAsia="zh-CN" w:bidi="ar"/>
              </w:rPr>
              <w:t>（3分）</w:t>
            </w:r>
            <w:r>
              <w:rPr>
                <w:rFonts w:hint="default" w:ascii="Times New Roman" w:hAnsi="Times New Roman" w:eastAsia="仿宋_GB2312" w:cs="Times New Roman"/>
                <w:i w:val="0"/>
                <w:color w:val="auto"/>
                <w:kern w:val="0"/>
                <w:sz w:val="24"/>
                <w:szCs w:val="24"/>
                <w:highlight w:val="none"/>
                <w:u w:val="none"/>
                <w:shd w:val="clear" w:color="auto" w:fill="auto"/>
                <w:lang w:val="en-US" w:eastAsia="zh-CN" w:bidi="ar"/>
              </w:rPr>
              <w:t>；</w:t>
            </w:r>
            <w:r>
              <w:rPr>
                <w:rFonts w:hint="default" w:ascii="Times New Roman" w:hAnsi="Times New Roman" w:eastAsia="仿宋_GB2312" w:cs="Times New Roman"/>
                <w:b/>
                <w:bCs/>
                <w:i w:val="0"/>
                <w:color w:val="auto"/>
                <w:kern w:val="0"/>
                <w:sz w:val="24"/>
                <w:szCs w:val="24"/>
                <w:highlight w:val="none"/>
                <w:u w:val="none"/>
                <w:shd w:val="clear" w:color="auto" w:fill="auto"/>
                <w:lang w:val="en-US" w:eastAsia="zh-CN" w:bidi="ar"/>
              </w:rPr>
              <w:t>每增加</w:t>
            </w:r>
            <w:r>
              <w:rPr>
                <w:rFonts w:hint="eastAsia" w:ascii="Times New Roman" w:hAnsi="Times New Roman" w:eastAsia="仿宋_GB2312" w:cs="Times New Roman"/>
                <w:b/>
                <w:bCs/>
                <w:i w:val="0"/>
                <w:color w:val="auto"/>
                <w:kern w:val="0"/>
                <w:sz w:val="24"/>
                <w:szCs w:val="24"/>
                <w:highlight w:val="none"/>
                <w:u w:val="none"/>
                <w:shd w:val="clear" w:color="auto" w:fill="auto"/>
                <w:lang w:val="en-US" w:eastAsia="zh-CN" w:bidi="ar"/>
              </w:rPr>
              <w:t>800</w:t>
            </w:r>
            <w:r>
              <w:rPr>
                <w:rFonts w:hint="default" w:ascii="Times New Roman" w:hAnsi="Times New Roman" w:eastAsia="仿宋_GB2312" w:cs="Times New Roman"/>
                <w:b/>
                <w:bCs/>
                <w:i w:val="0"/>
                <w:color w:val="auto"/>
                <w:kern w:val="0"/>
                <w:sz w:val="24"/>
                <w:szCs w:val="24"/>
                <w:highlight w:val="none"/>
                <w:u w:val="none"/>
                <w:shd w:val="clear" w:color="auto" w:fill="auto"/>
                <w:lang w:val="en-US" w:eastAsia="zh-CN" w:bidi="ar"/>
              </w:rPr>
              <w:t>万元加1分</w:t>
            </w:r>
            <w:r>
              <w:rPr>
                <w:rFonts w:hint="default" w:ascii="Times New Roman" w:hAnsi="Times New Roman" w:eastAsia="仿宋_GB2312" w:cs="Times New Roman"/>
                <w:i w:val="0"/>
                <w:color w:val="auto"/>
                <w:kern w:val="0"/>
                <w:sz w:val="24"/>
                <w:szCs w:val="24"/>
                <w:highlight w:val="none"/>
                <w:u w:val="none"/>
                <w:shd w:val="clear" w:color="auto" w:fill="auto"/>
                <w:lang w:val="en-US" w:eastAsia="zh-CN" w:bidi="ar"/>
              </w:rPr>
              <w:t>，以此类推；</w:t>
            </w:r>
            <w:r>
              <w:rPr>
                <w:rFonts w:hint="eastAsia" w:ascii="Times New Roman" w:hAnsi="Times New Roman" w:eastAsia="仿宋_GB2312" w:cs="Times New Roman"/>
                <w:i w:val="0"/>
                <w:color w:val="auto"/>
                <w:kern w:val="0"/>
                <w:sz w:val="24"/>
                <w:szCs w:val="24"/>
                <w:highlight w:val="none"/>
                <w:u w:val="none"/>
                <w:shd w:val="clear" w:color="auto" w:fill="auto"/>
                <w:lang w:val="en-US" w:eastAsia="zh-CN" w:bidi="ar"/>
              </w:rPr>
              <w:t>16000</w:t>
            </w:r>
            <w:r>
              <w:rPr>
                <w:rFonts w:hint="default" w:ascii="Times New Roman" w:hAnsi="Times New Roman" w:eastAsia="仿宋_GB2312" w:cs="Times New Roman"/>
                <w:i w:val="0"/>
                <w:color w:val="auto"/>
                <w:kern w:val="0"/>
                <w:sz w:val="24"/>
                <w:szCs w:val="24"/>
                <w:highlight w:val="none"/>
                <w:u w:val="none"/>
                <w:shd w:val="clear" w:color="auto" w:fill="auto"/>
                <w:lang w:val="en-US" w:eastAsia="zh-CN" w:bidi="ar"/>
              </w:rPr>
              <w:t>万元及以上的</w:t>
            </w:r>
            <w:r>
              <w:rPr>
                <w:rFonts w:hint="default" w:ascii="Times New Roman" w:hAnsi="Times New Roman" w:eastAsia="仿宋_GB2312" w:cs="Times New Roman"/>
                <w:b/>
                <w:bCs/>
                <w:i w:val="0"/>
                <w:color w:val="auto"/>
                <w:kern w:val="0"/>
                <w:sz w:val="24"/>
                <w:szCs w:val="24"/>
                <w:highlight w:val="none"/>
                <w:u w:val="none"/>
                <w:shd w:val="clear" w:color="auto" w:fill="auto"/>
                <w:lang w:val="en-US" w:eastAsia="zh-CN" w:bidi="ar"/>
              </w:rPr>
              <w:t>（20分）</w:t>
            </w:r>
            <w:r>
              <w:rPr>
                <w:rFonts w:hint="default" w:ascii="Times New Roman" w:hAnsi="Times New Roman" w:eastAsia="仿宋_GB2312" w:cs="Times New Roman"/>
                <w:i w:val="0"/>
                <w:color w:val="auto"/>
                <w:kern w:val="0"/>
                <w:sz w:val="24"/>
                <w:szCs w:val="24"/>
                <w:highlight w:val="none"/>
                <w:u w:val="none"/>
                <w:shd w:val="clear" w:color="auto" w:fill="auto"/>
                <w:lang w:val="en-US" w:eastAsia="zh-CN" w:bidi="ar"/>
              </w:rPr>
              <w:t>。</w:t>
            </w:r>
          </w:p>
        </w:tc>
        <w:tc>
          <w:tcPr>
            <w:tcW w:w="1939" w:type="dxa"/>
            <w:noWrap w:val="0"/>
            <w:vAlign w:val="center"/>
          </w:tcPr>
          <w:p w14:paraId="0AB925F0">
            <w:pPr>
              <w:keepNext w:val="0"/>
              <w:keepLines w:val="0"/>
              <w:pageBreakBefore w:val="0"/>
              <w:numPr>
                <w:ilvl w:val="0"/>
                <w:numId w:val="0"/>
              </w:numPr>
              <w:kinsoku/>
              <w:wordWrap/>
              <w:overflowPunct/>
              <w:topLinePunct w:val="0"/>
              <w:autoSpaceDE/>
              <w:autoSpaceDN/>
              <w:bidi w:val="0"/>
              <w:adjustRightInd/>
              <w:snapToGrid/>
              <w:spacing w:line="240" w:lineRule="auto"/>
              <w:jc w:val="both"/>
              <w:rPr>
                <w:rFonts w:hint="default" w:ascii="Times New Roman" w:hAnsi="Times New Roman" w:eastAsia="仿宋_GB2312" w:cs="Times New Roman"/>
                <w:i w:val="0"/>
                <w:caps w:val="0"/>
                <w:color w:val="auto"/>
                <w:spacing w:val="0"/>
                <w:kern w:val="2"/>
                <w:sz w:val="24"/>
                <w:szCs w:val="24"/>
                <w:shd w:val="clear" w:color="auto" w:fill="FFFFFF"/>
                <w:lang w:val="en-US" w:eastAsia="zh-CN" w:bidi="ar"/>
              </w:rPr>
            </w:pPr>
            <w:r>
              <w:rPr>
                <w:rFonts w:hint="default" w:ascii="Times New Roman" w:hAnsi="Times New Roman" w:eastAsia="仿宋_GB2312" w:cs="Times New Roman"/>
                <w:i w:val="0"/>
                <w:color w:val="auto"/>
                <w:kern w:val="0"/>
                <w:sz w:val="24"/>
                <w:szCs w:val="24"/>
                <w:highlight w:val="none"/>
                <w:u w:val="none"/>
                <w:shd w:val="clear" w:color="auto" w:fill="auto"/>
                <w:lang w:val="en-US" w:eastAsia="zh-CN" w:bidi="ar"/>
              </w:rPr>
              <w:t>业绩以全国建筑市场监管公共平台为准或浙江省建筑市场监管公共服务系统为准。</w:t>
            </w:r>
          </w:p>
        </w:tc>
        <w:tc>
          <w:tcPr>
            <w:tcW w:w="1091" w:type="dxa"/>
            <w:noWrap w:val="0"/>
            <w:vAlign w:val="center"/>
          </w:tcPr>
          <w:p w14:paraId="3F1E657D">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i w:val="0"/>
                <w:caps w:val="0"/>
                <w:color w:val="auto"/>
                <w:spacing w:val="0"/>
                <w:kern w:val="2"/>
                <w:sz w:val="24"/>
                <w:szCs w:val="24"/>
                <w:shd w:val="clear" w:color="auto" w:fill="FFFFFF"/>
                <w:lang w:val="en-US" w:eastAsia="zh-CN" w:bidi="ar"/>
              </w:rPr>
            </w:pPr>
          </w:p>
        </w:tc>
      </w:tr>
      <w:tr w14:paraId="08781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3" w:hRule="atLeast"/>
        </w:trPr>
        <w:tc>
          <w:tcPr>
            <w:tcW w:w="1490" w:type="dxa"/>
            <w:noWrap w:val="0"/>
            <w:vAlign w:val="center"/>
          </w:tcPr>
          <w:p w14:paraId="301E1D8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_GB2312" w:cs="Times New Roman"/>
                <w:b/>
                <w:bCs/>
                <w:color w:val="auto"/>
                <w:sz w:val="28"/>
                <w:szCs w:val="28"/>
                <w:highlight w:val="none"/>
                <w:shd w:val="clear" w:color="auto" w:fill="auto"/>
                <w:vertAlign w:val="baseline"/>
                <w:lang w:val="en-US" w:eastAsia="zh-CN"/>
              </w:rPr>
            </w:pPr>
            <w:r>
              <w:rPr>
                <w:rFonts w:hint="default" w:ascii="Times New Roman" w:hAnsi="Times New Roman" w:eastAsia="仿宋_GB2312" w:cs="Times New Roman"/>
                <w:b/>
                <w:bCs/>
                <w:color w:val="auto"/>
                <w:sz w:val="28"/>
                <w:szCs w:val="28"/>
                <w:highlight w:val="none"/>
                <w:shd w:val="clear" w:color="auto" w:fill="auto"/>
                <w:vertAlign w:val="baseline"/>
                <w:lang w:val="en-US" w:eastAsia="zh-CN"/>
              </w:rPr>
              <w:t>信用分</w:t>
            </w:r>
          </w:p>
        </w:tc>
        <w:tc>
          <w:tcPr>
            <w:tcW w:w="930" w:type="dxa"/>
            <w:noWrap w:val="0"/>
            <w:vAlign w:val="center"/>
          </w:tcPr>
          <w:p w14:paraId="4407131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_GB2312" w:cs="Times New Roman"/>
                <w:color w:val="auto"/>
                <w:sz w:val="24"/>
                <w:szCs w:val="24"/>
                <w:highlight w:val="none"/>
                <w:shd w:val="clear" w:color="auto" w:fill="auto"/>
                <w:vertAlign w:val="baseline"/>
                <w:lang w:val="en-US" w:eastAsia="zh-CN"/>
              </w:rPr>
            </w:pPr>
            <w:r>
              <w:rPr>
                <w:rFonts w:hint="default" w:ascii="Times New Roman" w:hAnsi="Times New Roman" w:eastAsia="仿宋_GB2312" w:cs="Times New Roman"/>
                <w:color w:val="auto"/>
                <w:sz w:val="24"/>
                <w:szCs w:val="24"/>
                <w:highlight w:val="none"/>
                <w:shd w:val="clear" w:color="auto" w:fill="auto"/>
                <w:vertAlign w:val="baseline"/>
                <w:lang w:val="en-US" w:eastAsia="zh-CN"/>
              </w:rPr>
              <w:t>70</w:t>
            </w:r>
          </w:p>
        </w:tc>
        <w:tc>
          <w:tcPr>
            <w:tcW w:w="3460" w:type="dxa"/>
            <w:noWrap w:val="0"/>
            <w:vAlign w:val="center"/>
          </w:tcPr>
          <w:p w14:paraId="2C8A40C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color w:val="auto"/>
                <w:sz w:val="24"/>
                <w:szCs w:val="24"/>
                <w:highlight w:val="none"/>
                <w:shd w:val="clear" w:color="auto" w:fill="auto"/>
                <w:vertAlign w:val="baseline"/>
                <w:lang w:val="en-US" w:eastAsia="zh-CN"/>
              </w:rPr>
            </w:pPr>
            <w:r>
              <w:rPr>
                <w:rFonts w:hint="default" w:ascii="Times New Roman" w:hAnsi="Times New Roman" w:eastAsia="仿宋_GB2312" w:cs="Times New Roman"/>
                <w:i w:val="0"/>
                <w:color w:val="auto"/>
                <w:kern w:val="0"/>
                <w:sz w:val="24"/>
                <w:szCs w:val="24"/>
                <w:highlight w:val="none"/>
                <w:u w:val="none"/>
                <w:shd w:val="clear" w:color="auto" w:fill="auto"/>
                <w:lang w:val="en-US" w:eastAsia="zh-CN" w:bidi="ar"/>
              </w:rPr>
              <w:t>企业法人注册地在衢州市范围内的建筑工程施工总承包贰级及以上资质企业为其提供担保。担保企业最近一次衢州市公共资源交易中心</w:t>
            </w:r>
            <w:r>
              <w:rPr>
                <w:rFonts w:hint="eastAsia" w:ascii="Times New Roman" w:hAnsi="Times New Roman" w:eastAsia="仿宋_GB2312" w:cs="Times New Roman"/>
                <w:i w:val="0"/>
                <w:color w:val="auto"/>
                <w:kern w:val="0"/>
                <w:sz w:val="24"/>
                <w:szCs w:val="24"/>
                <w:highlight w:val="none"/>
                <w:u w:val="none"/>
                <w:shd w:val="clear" w:color="auto" w:fill="auto"/>
                <w:lang w:val="en-US" w:eastAsia="zh-CN" w:bidi="ar"/>
              </w:rPr>
              <w:t>发布的浙江省（衢州地区）</w:t>
            </w:r>
            <w:r>
              <w:rPr>
                <w:rFonts w:hint="default" w:ascii="Times New Roman" w:hAnsi="Times New Roman" w:eastAsia="仿宋_GB2312" w:cs="Times New Roman"/>
                <w:i w:val="0"/>
                <w:color w:val="auto"/>
                <w:kern w:val="0"/>
                <w:sz w:val="24"/>
                <w:szCs w:val="24"/>
                <w:highlight w:val="none"/>
                <w:u w:val="none"/>
                <w:shd w:val="clear" w:color="auto" w:fill="auto"/>
                <w:lang w:val="en-US" w:eastAsia="zh-CN" w:bidi="ar"/>
              </w:rPr>
              <w:t>建筑施工企业信用评价结果必须为建筑A级。</w:t>
            </w:r>
            <w:r>
              <w:rPr>
                <w:rFonts w:hint="default" w:ascii="Times New Roman" w:hAnsi="Times New Roman" w:eastAsia="仿宋_GB2312" w:cs="Times New Roman"/>
                <w:b/>
                <w:bCs/>
                <w:i w:val="0"/>
                <w:color w:val="auto"/>
                <w:kern w:val="0"/>
                <w:sz w:val="24"/>
                <w:szCs w:val="24"/>
                <w:highlight w:val="none"/>
                <w:u w:val="none"/>
                <w:shd w:val="clear" w:color="auto" w:fill="auto"/>
                <w:lang w:val="en-US" w:eastAsia="zh-CN" w:bidi="ar"/>
              </w:rPr>
              <w:t>（信用分=</w:t>
            </w:r>
            <w:r>
              <w:rPr>
                <w:rFonts w:hint="eastAsia" w:ascii="Times New Roman" w:hAnsi="Times New Roman" w:eastAsia="仿宋_GB2312" w:cs="Times New Roman"/>
                <w:b/>
                <w:bCs/>
                <w:i w:val="0"/>
                <w:color w:val="auto"/>
                <w:kern w:val="0"/>
                <w:sz w:val="24"/>
                <w:szCs w:val="24"/>
                <w:highlight w:val="none"/>
                <w:u w:val="none"/>
                <w:shd w:val="clear" w:color="auto" w:fill="auto"/>
                <w:lang w:val="en-US" w:eastAsia="zh-CN" w:bidi="ar"/>
              </w:rPr>
              <w:t>浙江省（衢州地区）</w:t>
            </w:r>
            <w:r>
              <w:rPr>
                <w:rFonts w:hint="default" w:ascii="Times New Roman" w:hAnsi="Times New Roman" w:eastAsia="仿宋_GB2312" w:cs="Times New Roman"/>
                <w:b/>
                <w:bCs/>
                <w:i w:val="0"/>
                <w:color w:val="auto"/>
                <w:kern w:val="0"/>
                <w:sz w:val="24"/>
                <w:szCs w:val="24"/>
                <w:highlight w:val="none"/>
                <w:u w:val="none"/>
                <w:shd w:val="clear" w:color="auto" w:fill="auto"/>
                <w:lang w:val="en-US" w:eastAsia="zh-CN" w:bidi="ar"/>
              </w:rPr>
              <w:t>建筑施工企业信用评价得分×70÷1</w:t>
            </w:r>
            <w:r>
              <w:rPr>
                <w:rFonts w:hint="default" w:ascii="Times New Roman" w:hAnsi="Times New Roman" w:eastAsia="仿宋_GB2312" w:cs="Times New Roman"/>
                <w:b/>
                <w:bCs/>
                <w:i w:val="0"/>
                <w:color w:val="auto"/>
                <w:kern w:val="0"/>
                <w:sz w:val="24"/>
                <w:szCs w:val="24"/>
                <w:highlight w:val="none"/>
                <w:u w:val="none"/>
                <w:shd w:val="clear" w:color="auto" w:fill="auto"/>
                <w:lang w:eastAsia="zh-CN" w:bidi="ar"/>
              </w:rPr>
              <w:t>5</w:t>
            </w:r>
            <w:r>
              <w:rPr>
                <w:rFonts w:hint="default" w:ascii="Times New Roman" w:hAnsi="Times New Roman" w:eastAsia="仿宋_GB2312" w:cs="Times New Roman"/>
                <w:b/>
                <w:bCs/>
                <w:i w:val="0"/>
                <w:color w:val="auto"/>
                <w:kern w:val="0"/>
                <w:sz w:val="24"/>
                <w:szCs w:val="24"/>
                <w:highlight w:val="none"/>
                <w:u w:val="none"/>
                <w:shd w:val="clear" w:color="auto" w:fill="auto"/>
                <w:lang w:val="en-US" w:eastAsia="zh-CN" w:bidi="ar"/>
              </w:rPr>
              <w:t>0）</w:t>
            </w:r>
            <w:r>
              <w:rPr>
                <w:rFonts w:hint="default" w:ascii="Times New Roman" w:hAnsi="Times New Roman" w:eastAsia="仿宋_GB2312" w:cs="Times New Roman"/>
                <w:b w:val="0"/>
                <w:bCs w:val="0"/>
                <w:i w:val="0"/>
                <w:color w:val="auto"/>
                <w:kern w:val="0"/>
                <w:sz w:val="24"/>
                <w:szCs w:val="24"/>
                <w:highlight w:val="none"/>
                <w:u w:val="none"/>
                <w:shd w:val="clear" w:color="auto" w:fill="auto"/>
                <w:lang w:val="en-US" w:eastAsia="zh-CN" w:bidi="ar"/>
              </w:rPr>
              <w:t>。</w:t>
            </w:r>
          </w:p>
        </w:tc>
        <w:tc>
          <w:tcPr>
            <w:tcW w:w="1939" w:type="dxa"/>
            <w:noWrap w:val="0"/>
            <w:vAlign w:val="center"/>
          </w:tcPr>
          <w:p w14:paraId="5415B2D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i w:val="0"/>
                <w:color w:val="auto"/>
                <w:kern w:val="0"/>
                <w:sz w:val="24"/>
                <w:szCs w:val="24"/>
                <w:highlight w:val="none"/>
                <w:u w:val="none"/>
                <w:shd w:val="clear" w:color="auto" w:fill="auto"/>
                <w:lang w:val="en-US" w:eastAsia="zh-CN" w:bidi="ar"/>
              </w:rPr>
            </w:pPr>
            <w:r>
              <w:rPr>
                <w:rFonts w:hint="default" w:ascii="Times New Roman" w:hAnsi="Times New Roman" w:eastAsia="仿宋_GB2312" w:cs="Times New Roman"/>
                <w:i w:val="0"/>
                <w:color w:val="auto"/>
                <w:kern w:val="0"/>
                <w:sz w:val="24"/>
                <w:szCs w:val="24"/>
                <w:highlight w:val="none"/>
                <w:u w:val="none"/>
                <w:shd w:val="clear" w:color="auto" w:fill="auto"/>
                <w:lang w:val="en-US" w:eastAsia="zh-CN" w:bidi="ar"/>
              </w:rPr>
              <w:t>1.提供担保企业营业执照、资质证书的复印件；</w:t>
            </w:r>
          </w:p>
          <w:p w14:paraId="5841C1B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i w:val="0"/>
                <w:color w:val="auto"/>
                <w:kern w:val="0"/>
                <w:sz w:val="24"/>
                <w:szCs w:val="24"/>
                <w:highlight w:val="none"/>
                <w:u w:val="none"/>
                <w:shd w:val="clear" w:color="auto" w:fill="auto"/>
                <w:lang w:val="en-US" w:eastAsia="zh-CN" w:bidi="ar"/>
              </w:rPr>
            </w:pPr>
            <w:r>
              <w:rPr>
                <w:rFonts w:hint="default" w:ascii="Times New Roman" w:hAnsi="Times New Roman" w:eastAsia="仿宋_GB2312" w:cs="Times New Roman"/>
                <w:i w:val="0"/>
                <w:color w:val="auto"/>
                <w:kern w:val="0"/>
                <w:sz w:val="24"/>
                <w:szCs w:val="24"/>
                <w:highlight w:val="none"/>
                <w:u w:val="none"/>
                <w:shd w:val="clear" w:color="auto" w:fill="auto"/>
                <w:lang w:val="en-US" w:eastAsia="zh-CN" w:bidi="ar"/>
              </w:rPr>
              <w:t>2.提供担保企业在全国建筑市场监管公共平台、浙江省建筑市场监管公共服务系统中相关信息链接及截图；</w:t>
            </w:r>
          </w:p>
          <w:p w14:paraId="3645964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i w:val="0"/>
                <w:caps w:val="0"/>
                <w:color w:val="auto"/>
                <w:spacing w:val="0"/>
                <w:kern w:val="2"/>
                <w:sz w:val="24"/>
                <w:szCs w:val="24"/>
                <w:shd w:val="clear" w:color="auto" w:fill="FFFFFF"/>
                <w:lang w:eastAsia="zh-CN" w:bidi="ar"/>
              </w:rPr>
            </w:pPr>
            <w:r>
              <w:rPr>
                <w:rFonts w:hint="default" w:ascii="Times New Roman" w:hAnsi="Times New Roman" w:eastAsia="仿宋_GB2312" w:cs="Times New Roman"/>
                <w:i w:val="0"/>
                <w:color w:val="auto"/>
                <w:kern w:val="0"/>
                <w:sz w:val="24"/>
                <w:szCs w:val="24"/>
                <w:highlight w:val="none"/>
                <w:u w:val="none"/>
                <w:shd w:val="clear" w:color="auto" w:fill="auto"/>
                <w:lang w:val="en-US" w:eastAsia="zh-CN" w:bidi="ar"/>
              </w:rPr>
              <w:t>3.提供担保企业在报名开始日之前的最近一次衢州市公共资源交易中心发布的</w:t>
            </w:r>
            <w:bookmarkStart w:id="0" w:name="OLE_LINK3"/>
            <w:r>
              <w:rPr>
                <w:rFonts w:hint="eastAsia" w:ascii="Times New Roman" w:hAnsi="Times New Roman" w:eastAsia="仿宋_GB2312" w:cs="Times New Roman"/>
                <w:i w:val="0"/>
                <w:color w:val="auto"/>
                <w:kern w:val="0"/>
                <w:sz w:val="24"/>
                <w:szCs w:val="24"/>
                <w:highlight w:val="none"/>
                <w:u w:val="none"/>
                <w:shd w:val="clear" w:color="auto" w:fill="auto"/>
                <w:lang w:val="en-US" w:eastAsia="zh-CN" w:bidi="ar"/>
              </w:rPr>
              <w:t>浙江省（衢州地区）</w:t>
            </w:r>
            <w:r>
              <w:rPr>
                <w:rFonts w:hint="default" w:ascii="Times New Roman" w:hAnsi="Times New Roman" w:eastAsia="仿宋_GB2312" w:cs="Times New Roman"/>
                <w:i w:val="0"/>
                <w:color w:val="auto"/>
                <w:kern w:val="0"/>
                <w:sz w:val="24"/>
                <w:szCs w:val="24"/>
                <w:highlight w:val="none"/>
                <w:u w:val="none"/>
                <w:shd w:val="clear" w:color="auto" w:fill="auto"/>
                <w:lang w:val="en-US" w:eastAsia="zh-CN" w:bidi="ar"/>
              </w:rPr>
              <w:t>建筑施工企业信用评价结果</w:t>
            </w:r>
            <w:r>
              <w:rPr>
                <w:rFonts w:hint="eastAsia" w:ascii="Times New Roman" w:hAnsi="Times New Roman" w:eastAsia="仿宋_GB2312" w:cs="Times New Roman"/>
                <w:i w:val="0"/>
                <w:color w:val="auto"/>
                <w:kern w:val="0"/>
                <w:sz w:val="24"/>
                <w:szCs w:val="24"/>
                <w:highlight w:val="none"/>
                <w:u w:val="none"/>
                <w:shd w:val="clear" w:color="auto" w:fill="auto"/>
                <w:lang w:val="en-US" w:eastAsia="zh-CN" w:bidi="ar"/>
              </w:rPr>
              <w:t>。</w:t>
            </w:r>
            <w:bookmarkEnd w:id="0"/>
          </w:p>
        </w:tc>
        <w:tc>
          <w:tcPr>
            <w:tcW w:w="1091" w:type="dxa"/>
            <w:noWrap w:val="0"/>
            <w:vAlign w:val="center"/>
          </w:tcPr>
          <w:p w14:paraId="3AACBFE7">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i w:val="0"/>
                <w:caps w:val="0"/>
                <w:color w:val="auto"/>
                <w:spacing w:val="0"/>
                <w:kern w:val="2"/>
                <w:sz w:val="24"/>
                <w:szCs w:val="24"/>
                <w:shd w:val="clear" w:color="auto" w:fill="FFFFFF"/>
                <w:lang w:val="en-US" w:eastAsia="zh-CN" w:bidi="ar"/>
              </w:rPr>
            </w:pPr>
          </w:p>
        </w:tc>
      </w:tr>
      <w:tr w14:paraId="4D065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trPr>
        <w:tc>
          <w:tcPr>
            <w:tcW w:w="1490" w:type="dxa"/>
            <w:noWrap w:val="0"/>
            <w:vAlign w:val="center"/>
          </w:tcPr>
          <w:p w14:paraId="4089267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val="0"/>
                <w:i w:val="0"/>
                <w:color w:val="auto"/>
                <w:kern w:val="0"/>
                <w:sz w:val="32"/>
                <w:szCs w:val="32"/>
                <w:highlight w:val="none"/>
                <w:u w:val="none"/>
                <w:lang w:val="en-US" w:eastAsia="zh-CN" w:bidi="ar"/>
              </w:rPr>
            </w:pPr>
            <w:r>
              <w:rPr>
                <w:rFonts w:hint="default" w:ascii="Times New Roman" w:hAnsi="Times New Roman" w:eastAsia="宋体" w:cs="Times New Roman"/>
                <w:b/>
                <w:bCs w:val="0"/>
                <w:i w:val="0"/>
                <w:color w:val="auto"/>
                <w:kern w:val="0"/>
                <w:sz w:val="32"/>
                <w:szCs w:val="32"/>
                <w:highlight w:val="none"/>
                <w:u w:val="none"/>
                <w:lang w:val="en-US" w:eastAsia="zh-CN" w:bidi="ar"/>
              </w:rPr>
              <w:t>合计</w:t>
            </w:r>
          </w:p>
        </w:tc>
        <w:tc>
          <w:tcPr>
            <w:tcW w:w="6329" w:type="dxa"/>
            <w:gridSpan w:val="3"/>
            <w:noWrap w:val="0"/>
            <w:vAlign w:val="center"/>
          </w:tcPr>
          <w:p w14:paraId="510E70C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val="0"/>
                <w:i w:val="0"/>
                <w:color w:val="auto"/>
                <w:kern w:val="0"/>
                <w:sz w:val="32"/>
                <w:szCs w:val="32"/>
                <w:highlight w:val="none"/>
                <w:u w:val="none"/>
                <w:lang w:val="en-US" w:eastAsia="zh-CN" w:bidi="ar"/>
              </w:rPr>
            </w:pPr>
            <w:r>
              <w:rPr>
                <w:rFonts w:hint="default" w:ascii="Times New Roman" w:hAnsi="Times New Roman" w:eastAsia="宋体" w:cs="Times New Roman"/>
                <w:b w:val="0"/>
                <w:bCs/>
                <w:i w:val="0"/>
                <w:color w:val="auto"/>
                <w:kern w:val="0"/>
                <w:sz w:val="32"/>
                <w:szCs w:val="32"/>
                <w:highlight w:val="none"/>
                <w:u w:val="none"/>
                <w:lang w:val="en-US" w:eastAsia="zh-CN" w:bidi="ar"/>
              </w:rPr>
              <w:t>100</w:t>
            </w:r>
          </w:p>
        </w:tc>
        <w:tc>
          <w:tcPr>
            <w:tcW w:w="1091" w:type="dxa"/>
            <w:noWrap w:val="0"/>
            <w:vAlign w:val="center"/>
          </w:tcPr>
          <w:p w14:paraId="1011D611">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auto"/>
                <w:sz w:val="22"/>
                <w:szCs w:val="22"/>
                <w:highlight w:val="none"/>
                <w:vertAlign w:val="baseline"/>
                <w:lang w:val="en-US" w:eastAsia="zh-CN"/>
              </w:rPr>
            </w:pPr>
          </w:p>
        </w:tc>
      </w:tr>
    </w:tbl>
    <w:p w14:paraId="6CD220D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FB639F"/>
    <w:rsid w:val="38FB63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jc w:val="center"/>
    </w:pPr>
    <w:rPr>
      <w:rFonts w:ascii="宋体" w:hAnsi="宋体"/>
      <w:b/>
      <w:bCs/>
      <w:sz w:val="32"/>
      <w:szCs w:val="36"/>
    </w:rPr>
  </w:style>
  <w:style w:type="paragraph" w:styleId="3">
    <w:name w:val="Body Text First Indent"/>
    <w:basedOn w:val="2"/>
    <w:next w:val="1"/>
    <w:qFormat/>
    <w:uiPriority w:val="0"/>
    <w:pPr>
      <w:spacing w:after="120"/>
      <w:ind w:firstLine="420" w:firstLineChars="100"/>
    </w:pPr>
    <w:rPr>
      <w:rFonts w:ascii="等线" w:hAnsi="等线" w:eastAsia="等线"/>
      <w:sz w:val="21"/>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2025-04-16T03:09:00Z</dcterms:created>
  <dc:creator>      Z.yx </dc:creator>
  <cp:lastModifiedBy>      Z.yx </cp:lastModifiedBy>
  <dcterms:modified xsi:type="dcterms:W3CDTF">2025-04-16T03:10:25Z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8E8BFFB8F5FE4D3587BFF6B764A9B361_11</vt:lpwstr>
  </property>
  <property fmtid="{D5CDD505-2E9C-101B-9397-08002B2CF9AE}" pid="4" name="KSOTemplateDocerSaveRecord">
    <vt:lpwstr>eyJoZGlkIjoiNTU0ZmIwYTQ3NzlmZGUxZmU3Zjk0M2IyZTNmM2IxNjAiLCJ1c2VySWQiOiIyMzA3MDg0NDYifQ==</vt:lpwstr>
  </property>
</Properties>
</file>