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山煤国际2025年井下操作技能人员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eastAsia="zh-CN"/>
        </w:rPr>
        <w:t>山煤国际能源集团股份有限公司（山煤国际），成立于2009年12月，是山西焦煤集团旗下的国有控股A股上市公司（股票代码600546），主要从事煤炭开采、洗选、销售、国内外贸易以及海洋运输等业务，具有“产、洗、销、贸、运”一体化优势，与多家国内外知名企业建立了长期稳定的合作关系。公司始终致力于为员工提供广阔的发展空间和优厚的福利待遇，提供定制化培训、多元化晋升以及多渠道成长的职业发展路径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为进一步加强人才队伍建设，优化人力资源配置，储备培养井下操作技能人才，满足矿井安全生产需要，现面向社会公开招聘井下操作技能人员。有关事项公告如下：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一、招聘原则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公开报名、公平竞争、人岗匹配、择优录用。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二、招聘对象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（一）全日制普通高等教育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及以上学历毕业生（含2025届毕业生）。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周岁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以下（1990年1月1日以后出生）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三、招聘岗位及人数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井下操作技能岗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  <w:t>四、工作地点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招聘单位所属煤矿（包括偏远整合煤矿）。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五、招聘条件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（一）品德端正，爱岗敬业，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认同山西焦煤企业文化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（二）身体健康，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具备煤矿井下工作的身体条件，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能够胜任岗位工作要求。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（四）服从分配，愿意到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煤矿井下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岗位工作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无其他不适合招聘岗位的情形。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）2025届毕业生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须在2025年8月31日前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取得相应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具备就业资格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六、招聘方式及程序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本次招聘采用统一线上报名、线下综合测试的方式进行。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起止时间：公告发布之日起至2025年4月30日18:00。请符合应聘条件人员扫描下方二维码，按要求认真如实填报并提供相关资料。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46355</wp:posOffset>
            </wp:positionV>
            <wp:extent cx="2066925" cy="2686685"/>
            <wp:effectExtent l="0" t="0" r="9525" b="18415"/>
            <wp:wrapNone/>
            <wp:docPr id="2" name="图片 2" descr="04-山煤国际井下操作人员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-山煤国际井下操作人员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2.根据招聘条件，对应聘者进行资格初审。对通过资格初审的应聘者，将通过短信通知现场资格复审；初审未通过者不再另行通知。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3.资格复审通过的应聘者，将安排线下综合测试。综合测试包含笔试、面试。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4.通过综合测试的应聘者，将进行健康体检、结果公示、签订协议、录用等招聘工作后续程序。综合测试未通过者不再另行通知。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七、相关事项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应聘人员联系方式、学校专业等个人资料信息必须填写准确，凡因本人信息填写错误或上</w:t>
      </w:r>
      <w:r>
        <w:rPr>
          <w:rFonts w:hint="eastAsia" w:ascii="仿宋_GB2312" w:hAnsi="仿宋_GB2312" w:eastAsia="仿宋_GB2312" w:cs="仿宋_GB2312"/>
          <w:sz w:val="36"/>
          <w:szCs w:val="36"/>
        </w:rPr>
        <w:t>传资料不全而导致未通过资格审查的，后果由其本人承担。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</w:rPr>
        <w:t>）资格审核贯穿招聘全过程，应聘者应提供真实有效的信息和资料，凡提供伪造、变造、虚假信息的，取消其应聘资格。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</w:rPr>
        <w:t>）应聘人员填写的联系电话必须确保通信正常，因通信不畅导致本人未能按要求参加资格复审、综合测试、体检、录用等招聘过程的，责任自负。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）本次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井下操作技能人员</w:t>
      </w:r>
      <w:r>
        <w:rPr>
          <w:rFonts w:hint="eastAsia" w:ascii="仿宋_GB2312" w:hAnsi="仿宋_GB2312" w:eastAsia="仿宋_GB2312" w:cs="仿宋_GB2312"/>
          <w:sz w:val="36"/>
          <w:szCs w:val="36"/>
        </w:rPr>
        <w:t>招聘公告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6"/>
          <w:szCs w:val="36"/>
        </w:rPr>
        <w:t>在山西省国有资本运营有限公司网站（https://www.ssco.ltd/），招聘不以任何形式收取“中介费、报名费、培训费”，也不委托任何第三方、个人组织招聘或培训，望广大应聘者提高警惕，谨防受骗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highlight w:val="none"/>
          <w:shd w:val="clear" w:fill="FFFFFF"/>
          <w:vertAlign w:val="baseline"/>
          <w:lang w:val="en-US" w:eastAsia="zh-CN" w:bidi="ar"/>
        </w:rPr>
        <w:t>山煤国际：杨先生，联系方式：19035103070</w:t>
      </w:r>
    </w:p>
    <w:p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（工作日9:00-11:30，15:00-17:30）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547E"/>
    <w:rsid w:val="0CBE06E4"/>
    <w:rsid w:val="0FCA6AF8"/>
    <w:rsid w:val="115F7D8E"/>
    <w:rsid w:val="13DB407B"/>
    <w:rsid w:val="1AF133E9"/>
    <w:rsid w:val="1BA92D4A"/>
    <w:rsid w:val="1BD163B0"/>
    <w:rsid w:val="1C1B7A4E"/>
    <w:rsid w:val="1D4F2CE2"/>
    <w:rsid w:val="1DA5133C"/>
    <w:rsid w:val="215D5774"/>
    <w:rsid w:val="2167023B"/>
    <w:rsid w:val="227C6EE6"/>
    <w:rsid w:val="24134E9C"/>
    <w:rsid w:val="246F34DD"/>
    <w:rsid w:val="24EF3AA2"/>
    <w:rsid w:val="262F7D7B"/>
    <w:rsid w:val="2652435A"/>
    <w:rsid w:val="28C6576E"/>
    <w:rsid w:val="29521D5A"/>
    <w:rsid w:val="2B17347C"/>
    <w:rsid w:val="34E27153"/>
    <w:rsid w:val="3727298D"/>
    <w:rsid w:val="38E45714"/>
    <w:rsid w:val="3B9F3DB0"/>
    <w:rsid w:val="46E23278"/>
    <w:rsid w:val="4A991E77"/>
    <w:rsid w:val="4AFB2BAD"/>
    <w:rsid w:val="4F2232C2"/>
    <w:rsid w:val="50430C5C"/>
    <w:rsid w:val="53A9137C"/>
    <w:rsid w:val="56507426"/>
    <w:rsid w:val="57004A1D"/>
    <w:rsid w:val="587C5A31"/>
    <w:rsid w:val="5C2E56E5"/>
    <w:rsid w:val="5D040983"/>
    <w:rsid w:val="6189763D"/>
    <w:rsid w:val="61BE0EC4"/>
    <w:rsid w:val="63A1352C"/>
    <w:rsid w:val="64ED4A55"/>
    <w:rsid w:val="68CA6D7A"/>
    <w:rsid w:val="73F1401F"/>
    <w:rsid w:val="74385B99"/>
    <w:rsid w:val="79543498"/>
    <w:rsid w:val="7F5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widowControl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customStyle="1" w:styleId="15">
    <w:name w:val="标题 1 Char"/>
    <w:link w:val="4"/>
    <w:qFormat/>
    <w:uiPriority w:val="0"/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character" w:customStyle="1" w:styleId="16">
    <w:name w:val="标题 3 Char"/>
    <w:link w:val="6"/>
    <w:qFormat/>
    <w:uiPriority w:val="0"/>
    <w:rPr>
      <w:rFonts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1456</Characters>
  <Lines>0</Lines>
  <Paragraphs>0</Paragraphs>
  <TotalTime>0</TotalTime>
  <ScaleCrop>false</ScaleCrop>
  <LinksUpToDate>false</LinksUpToDate>
  <CharactersWithSpaces>1457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2023-07-20T12:22:00Z</dcterms:created>
  <dc:creator>sxjm</dc:creator>
  <cp:lastModifiedBy>sxjm</cp:lastModifiedBy>
  <cp:lastPrinted>2025-04-17T06:38:00Z</cp:lastPrinted>
  <dcterms:modified xsi:type="dcterms:W3CDTF">2025-04-20T05:05:06Z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F711545D2CD64C0994D59D45C8FCD047</vt:lpwstr>
  </property>
  <property fmtid="{D5CDD505-2E9C-101B-9397-08002B2CF9AE}" pid="4" name="KSOTemplateDocerSaveRecord">
    <vt:lpwstr>eyJoZGlkIjoiMTRhZWM1MjczNzExNThiZDNjODYzMmE1ZTkwZWI5ODIiLCJ1c2VySWQiOiI0MjYyMDIwOTIifQ==</vt:lpwstr>
  </property>
</Properties>
</file>