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lang w:val="en-US"/>
        </w:rPr>
      </w:pPr>
      <w:r>
        <w:rPr>
          <w:rFonts w:hint="eastAsia" w:ascii="黑体" w:hAnsi="黑体" w:eastAsia="黑体" w:cs="黑体"/>
          <w:spacing w:val="-6"/>
          <w:sz w:val="28"/>
          <w:szCs w:val="28"/>
        </w:rPr>
        <w:t>附件</w:t>
      </w:r>
      <w:r>
        <w:rPr>
          <w:rFonts w:hint="eastAsia" w:ascii="黑体" w:hAnsi="黑体" w:eastAsia="黑体" w:cs="黑体"/>
          <w:spacing w:val="-6"/>
          <w:sz w:val="28"/>
          <w:szCs w:val="28"/>
          <w:lang w:val="en-US" w:eastAsia="zh-CN"/>
        </w:rPr>
        <w:t>3</w:t>
      </w:r>
    </w:p>
    <w:p>
      <w:pPr>
        <w:spacing w:line="50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pPr>
        <w:spacing w:line="500" w:lineRule="exact"/>
        <w:ind w:firstLine="560" w:firstLineChars="200"/>
        <w:rPr>
          <w:rFonts w:ascii="黑体" w:hAnsi="黑体" w:eastAsia="黑体" w:cs="黑体"/>
          <w:sz w:val="28"/>
          <w:szCs w:val="28"/>
        </w:rPr>
      </w:pP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一、网上填写报名信息时应注意什么？</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网上报名系统的表项中未能涵盖应聘岗位要求资格条件的，务必在“</w:t>
      </w:r>
      <w:r>
        <w:rPr>
          <w:rFonts w:hint="eastAsia" w:ascii="仿宋_GB2312" w:hAnsi="仿宋_GB2312" w:eastAsia="仿宋_GB2312" w:cs="仿宋_GB2312"/>
          <w:color w:val="auto"/>
          <w:sz w:val="28"/>
          <w:szCs w:val="28"/>
        </w:rPr>
        <w:t>个人简历</w:t>
      </w:r>
      <w:r>
        <w:rPr>
          <w:rFonts w:ascii="仿宋_GB2312" w:hAnsi="仿宋_GB2312" w:eastAsia="仿宋_GB2312" w:cs="仿宋_GB2312"/>
          <w:color w:val="auto"/>
          <w:sz w:val="28"/>
          <w:szCs w:val="28"/>
        </w:rPr>
        <w:t>栏”中如实填写。其中，岗位其他条件要求相关证书的，应当注明取得证书的级别、编号和取得时间；暂未取得的，应作出</w:t>
      </w:r>
      <w:r>
        <w:rPr>
          <w:rFonts w:hint="eastAsia" w:ascii="仿宋_GB2312" w:hAnsi="仿宋_GB2312" w:eastAsia="仿宋_GB2312" w:cs="仿宋_GB2312"/>
          <w:color w:val="auto"/>
          <w:sz w:val="28"/>
          <w:szCs w:val="28"/>
        </w:rPr>
        <w:t>在面试资格审查</w:t>
      </w:r>
      <w:r>
        <w:rPr>
          <w:rFonts w:ascii="仿宋_GB2312" w:hAnsi="仿宋_GB2312" w:eastAsia="仿宋_GB2312" w:cs="仿宋_GB2312"/>
          <w:color w:val="auto"/>
          <w:sz w:val="28"/>
          <w:szCs w:val="28"/>
        </w:rPr>
        <w:t>前取得证书的承诺，未如期取得，本人承担相应后果。</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家庭成员及其主要社会关系，须填写姓名、工作单位及职务。学习和工作（待业）经历须从高中阶段起填写至报名时止，不得间断。</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color w:val="auto"/>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r>
        <w:rPr>
          <w:rFonts w:ascii="仿宋_GB2312" w:hAnsi="仿宋_GB2312" w:eastAsia="仿宋_GB2312" w:cs="仿宋_GB2312"/>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pPr>
        <w:spacing w:line="500" w:lineRule="exact"/>
        <w:ind w:firstLine="561"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pPr>
        <w:spacing w:line="500" w:lineRule="exact"/>
        <w:ind w:firstLine="561"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pPr>
        <w:spacing w:line="500" w:lineRule="exact"/>
        <w:ind w:firstLine="561"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pPr>
        <w:spacing w:line="500" w:lineRule="exact"/>
        <w:ind w:firstLine="561"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三、专业如何认定？</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w:t>
      </w:r>
      <w:r>
        <w:rPr>
          <w:rFonts w:ascii="仿宋_GB2312" w:hAnsi="仿宋_GB2312" w:eastAsia="仿宋_GB2312" w:cs="仿宋_GB2312"/>
          <w:color w:val="auto"/>
          <w:sz w:val="28"/>
          <w:szCs w:val="28"/>
        </w:rPr>
        <w:t>单位介绍有关情况，</w:t>
      </w:r>
      <w:r>
        <w:rPr>
          <w:rFonts w:hint="eastAsia" w:ascii="仿宋_GB2312" w:hAnsi="仿宋_GB2312" w:eastAsia="仿宋_GB2312" w:cs="仿宋_GB2312"/>
          <w:color w:val="auto"/>
          <w:sz w:val="28"/>
          <w:szCs w:val="28"/>
        </w:rPr>
        <w:t>提供</w:t>
      </w:r>
      <w:r>
        <w:rPr>
          <w:rFonts w:ascii="仿宋_GB2312" w:hAnsi="仿宋_GB2312" w:eastAsia="仿宋_GB2312" w:cs="仿宋_GB2312"/>
          <w:color w:val="auto"/>
          <w:sz w:val="28"/>
          <w:szCs w:val="28"/>
        </w:rPr>
        <w:t>所学</w:t>
      </w:r>
      <w:r>
        <w:rPr>
          <w:rFonts w:hint="eastAsia" w:ascii="仿宋_GB2312" w:hAnsi="仿宋_GB2312" w:eastAsia="仿宋_GB2312" w:cs="仿宋_GB2312"/>
          <w:color w:val="auto"/>
          <w:sz w:val="28"/>
          <w:szCs w:val="28"/>
        </w:rPr>
        <w:t>主要</w:t>
      </w:r>
      <w:r>
        <w:rPr>
          <w:rFonts w:ascii="仿宋_GB2312" w:hAnsi="仿宋_GB2312" w:eastAsia="仿宋_GB2312" w:cs="仿宋_GB2312"/>
          <w:color w:val="auto"/>
          <w:sz w:val="28"/>
          <w:szCs w:val="28"/>
        </w:rPr>
        <w:t>课程、研究方向</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相关高校或省</w:t>
      </w:r>
      <w:r>
        <w:rPr>
          <w:rFonts w:hint="eastAsia" w:ascii="仿宋_GB2312" w:hAnsi="仿宋_GB2312" w:eastAsia="仿宋_GB2312" w:cs="仿宋_GB2312"/>
          <w:color w:val="auto"/>
          <w:sz w:val="28"/>
          <w:szCs w:val="28"/>
        </w:rPr>
        <w:t>及</w:t>
      </w:r>
      <w:r>
        <w:rPr>
          <w:rFonts w:ascii="仿宋_GB2312" w:hAnsi="仿宋_GB2312" w:eastAsia="仿宋_GB2312" w:cs="仿宋_GB2312"/>
          <w:color w:val="auto"/>
          <w:sz w:val="28"/>
          <w:szCs w:val="28"/>
        </w:rPr>
        <w:t>以上相关科研机构等第三方</w:t>
      </w:r>
      <w:r>
        <w:rPr>
          <w:rFonts w:hint="eastAsia" w:ascii="仿宋_GB2312" w:hAnsi="仿宋_GB2312" w:eastAsia="仿宋_GB2312" w:cs="仿宋_GB2312"/>
          <w:color w:val="auto"/>
          <w:sz w:val="28"/>
          <w:szCs w:val="28"/>
        </w:rPr>
        <w:t>的专业认定证明材料,</w:t>
      </w:r>
      <w:r>
        <w:rPr>
          <w:rFonts w:ascii="仿宋_GB2312" w:hAnsi="仿宋_GB2312" w:eastAsia="仿宋_GB2312" w:cs="仿宋_GB2312"/>
          <w:color w:val="auto"/>
          <w:sz w:val="28"/>
          <w:szCs w:val="28"/>
        </w:rPr>
        <w:t>由招聘单位或者其主管部门（单位）对其留学所学专业进行认定，认定为相似专业的视为专业条件合格。</w:t>
      </w:r>
    </w:p>
    <w:p>
      <w:pPr>
        <w:widowControl/>
        <w:spacing w:line="50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在符合专业等其他条件前提下，</w:t>
      </w:r>
      <w:r>
        <w:rPr>
          <w:rFonts w:ascii="仿宋_GB2312" w:hAnsi="仿宋_GB2312" w:eastAsia="仿宋_GB2312" w:cs="仿宋_GB2312"/>
          <w:color w:val="auto"/>
          <w:sz w:val="28"/>
          <w:szCs w:val="28"/>
        </w:rPr>
        <w:t>技工院校高级工班</w:t>
      </w:r>
      <w:r>
        <w:rPr>
          <w:rFonts w:hint="eastAsia" w:ascii="仿宋_GB2312" w:hAnsi="仿宋_GB2312" w:eastAsia="仿宋_GB2312" w:cs="仿宋_GB2312"/>
          <w:color w:val="auto"/>
          <w:sz w:val="28"/>
          <w:szCs w:val="28"/>
        </w:rPr>
        <w:t>毕业生可报名应聘学历要求为专科的岗位，</w:t>
      </w:r>
      <w:r>
        <w:rPr>
          <w:rFonts w:ascii="仿宋_GB2312" w:hAnsi="仿宋_GB2312" w:eastAsia="仿宋_GB2312" w:cs="仿宋_GB2312"/>
          <w:color w:val="auto"/>
          <w:sz w:val="28"/>
          <w:szCs w:val="28"/>
        </w:rPr>
        <w:t>预备技师（技师）班毕业</w:t>
      </w:r>
      <w:r>
        <w:rPr>
          <w:rFonts w:hint="eastAsia" w:ascii="仿宋_GB2312" w:hAnsi="仿宋_GB2312" w:eastAsia="仿宋_GB2312" w:cs="仿宋_GB2312"/>
          <w:color w:val="auto"/>
          <w:sz w:val="28"/>
          <w:szCs w:val="28"/>
        </w:rPr>
        <w:t>生可报名应聘</w:t>
      </w:r>
      <w:r>
        <w:rPr>
          <w:rFonts w:ascii="仿宋_GB2312" w:hAnsi="仿宋_GB2312" w:eastAsia="仿宋_GB2312" w:cs="仿宋_GB2312"/>
          <w:color w:val="auto"/>
          <w:sz w:val="28"/>
          <w:szCs w:val="28"/>
        </w:rPr>
        <w:t>学历</w:t>
      </w:r>
      <w:r>
        <w:rPr>
          <w:rFonts w:hint="eastAsia" w:ascii="仿宋_GB2312" w:hAnsi="仿宋_GB2312" w:eastAsia="仿宋_GB2312" w:cs="仿宋_GB2312"/>
          <w:color w:val="auto"/>
          <w:sz w:val="28"/>
          <w:szCs w:val="28"/>
        </w:rPr>
        <w:t>要求为大学本科的岗位。专业设置以</w:t>
      </w:r>
      <w:r>
        <w:rPr>
          <w:rFonts w:ascii="仿宋_GB2312" w:hAnsi="仿宋_GB2312" w:eastAsia="仿宋_GB2312" w:cs="仿宋_GB2312"/>
          <w:color w:val="auto"/>
          <w:sz w:val="28"/>
          <w:szCs w:val="28"/>
        </w:rPr>
        <w:t>人力资源社会保障部制定的全国技工院校专业目录</w:t>
      </w:r>
      <w:r>
        <w:rPr>
          <w:rFonts w:hint="eastAsia" w:ascii="仿宋_GB2312" w:hAnsi="仿宋_GB2312" w:eastAsia="仿宋_GB2312" w:cs="仿宋_GB2312"/>
          <w:color w:val="auto"/>
          <w:sz w:val="28"/>
          <w:szCs w:val="28"/>
        </w:rPr>
        <w:t>为准。</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国内非普通高等学历教育的其他</w:t>
      </w:r>
      <w:r>
        <w:rPr>
          <w:rFonts w:hint="eastAsia" w:ascii="仿宋_GB2312" w:hAnsi="仿宋_GB2312" w:eastAsia="仿宋_GB2312" w:cs="仿宋_GB2312"/>
          <w:color w:val="auto"/>
          <w:sz w:val="28"/>
          <w:szCs w:val="28"/>
        </w:rPr>
        <w:t>国民</w:t>
      </w:r>
      <w:r>
        <w:rPr>
          <w:rFonts w:ascii="仿宋_GB2312" w:hAnsi="仿宋_GB2312" w:eastAsia="仿宋_GB2312" w:cs="仿宋_GB2312"/>
          <w:color w:val="auto"/>
          <w:sz w:val="28"/>
          <w:szCs w:val="28"/>
        </w:rPr>
        <w:t>教育形式（自学考试、成人教育、网络教育、夜大、电大等）毕业生取得毕业证（学位证）后，符合岗位要求资格条件的，均可应聘。</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对</w:t>
      </w:r>
      <w:r>
        <w:rPr>
          <w:rFonts w:hint="eastAsia" w:ascii="仿宋_GB2312" w:hAnsi="仿宋_GB2312" w:eastAsia="仿宋_GB2312" w:cs="仿宋_GB2312"/>
          <w:color w:val="auto"/>
          <w:sz w:val="28"/>
          <w:szCs w:val="28"/>
        </w:rPr>
        <w:t>个别涉及</w:t>
      </w:r>
      <w:r>
        <w:rPr>
          <w:rFonts w:ascii="仿宋_GB2312" w:hAnsi="仿宋_GB2312" w:eastAsia="仿宋_GB2312" w:cs="仿宋_GB2312"/>
          <w:color w:val="auto"/>
          <w:sz w:val="28"/>
          <w:szCs w:val="28"/>
        </w:rPr>
        <w:t>专业</w:t>
      </w:r>
      <w:r>
        <w:rPr>
          <w:rFonts w:hint="eastAsia" w:ascii="仿宋_GB2312" w:hAnsi="仿宋_GB2312" w:eastAsia="仿宋_GB2312" w:cs="仿宋_GB2312"/>
          <w:color w:val="auto"/>
          <w:sz w:val="28"/>
          <w:szCs w:val="28"/>
        </w:rPr>
        <w:t>名称及代码等</w:t>
      </w:r>
      <w:r>
        <w:rPr>
          <w:rFonts w:ascii="仿宋_GB2312" w:hAnsi="仿宋_GB2312" w:eastAsia="仿宋_GB2312" w:cs="仿宋_GB2312"/>
          <w:color w:val="auto"/>
          <w:sz w:val="28"/>
          <w:szCs w:val="28"/>
        </w:rPr>
        <w:t>调整的</w:t>
      </w:r>
      <w:r>
        <w:rPr>
          <w:rFonts w:hint="eastAsia" w:ascii="仿宋_GB2312" w:hAnsi="仿宋_GB2312" w:eastAsia="仿宋_GB2312" w:cs="仿宋_GB2312"/>
          <w:color w:val="auto"/>
          <w:sz w:val="28"/>
          <w:szCs w:val="28"/>
        </w:rPr>
        <w:t>，</w:t>
      </w:r>
      <w:r>
        <w:rPr>
          <w:rFonts w:ascii="仿宋_GB2312" w:hAnsi="仿宋_GB2312" w:eastAsia="仿宋_GB2312" w:cs="仿宋_GB2312"/>
          <w:color w:val="auto"/>
          <w:sz w:val="28"/>
          <w:szCs w:val="28"/>
        </w:rPr>
        <w:t>以国家教育部门发文为</w:t>
      </w:r>
      <w:r>
        <w:rPr>
          <w:rFonts w:hint="eastAsia" w:ascii="仿宋_GB2312" w:hAnsi="仿宋_GB2312" w:eastAsia="仿宋_GB2312" w:cs="仿宋_GB2312"/>
          <w:color w:val="auto"/>
          <w:sz w:val="28"/>
          <w:szCs w:val="28"/>
        </w:rPr>
        <w:t>依据进行认定</w:t>
      </w:r>
      <w:r>
        <w:rPr>
          <w:rFonts w:ascii="仿宋_GB2312" w:hAnsi="仿宋_GB2312" w:eastAsia="仿宋_GB2312" w:cs="仿宋_GB2312"/>
          <w:color w:val="auto"/>
          <w:sz w:val="28"/>
          <w:szCs w:val="28"/>
        </w:rPr>
        <w:t>。出现新旧专业比对认定争议时,原则上以</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就读高等学校依据教育部下发的关于新旧学科专业调整的有效文件或</w:t>
      </w:r>
      <w:r>
        <w:rPr>
          <w:rFonts w:hint="eastAsia" w:ascii="仿宋_GB2312" w:hAnsi="仿宋_GB2312" w:eastAsia="仿宋_GB2312" w:cs="仿宋_GB2312"/>
          <w:color w:val="auto"/>
          <w:sz w:val="28"/>
          <w:szCs w:val="28"/>
        </w:rPr>
        <w:t>应聘人员</w:t>
      </w:r>
      <w:r>
        <w:rPr>
          <w:rFonts w:ascii="仿宋_GB2312" w:hAnsi="仿宋_GB2312" w:eastAsia="仿宋_GB2312" w:cs="仿宋_GB2312"/>
          <w:color w:val="auto"/>
          <w:sz w:val="28"/>
          <w:szCs w:val="28"/>
        </w:rPr>
        <w:t>就读的高等学校依据省级以上教育部门有关文件</w:t>
      </w:r>
      <w:r>
        <w:rPr>
          <w:rFonts w:hint="eastAsia" w:ascii="仿宋_GB2312" w:hAnsi="仿宋_GB2312" w:eastAsia="仿宋_GB2312" w:cs="仿宋_GB2312"/>
          <w:color w:val="auto"/>
          <w:sz w:val="28"/>
          <w:szCs w:val="28"/>
        </w:rPr>
        <w:t>或</w:t>
      </w:r>
      <w:r>
        <w:rPr>
          <w:rFonts w:ascii="仿宋_GB2312" w:hAnsi="仿宋_GB2312" w:eastAsia="仿宋_GB2312" w:cs="仿宋_GB2312"/>
          <w:color w:val="auto"/>
          <w:sz w:val="28"/>
          <w:szCs w:val="28"/>
        </w:rPr>
        <w:t>有关规定出具的有效专业证明材料进行</w:t>
      </w:r>
      <w:r>
        <w:rPr>
          <w:rFonts w:hint="eastAsia" w:ascii="仿宋_GB2312" w:hAnsi="仿宋_GB2312" w:eastAsia="仿宋_GB2312" w:cs="仿宋_GB2312"/>
          <w:color w:val="auto"/>
          <w:sz w:val="28"/>
          <w:szCs w:val="28"/>
        </w:rPr>
        <w:t>综合认定，招聘单位及其主管部门不得简单以学科专业不在参考目录为由不予通过审查</w:t>
      </w:r>
      <w:r>
        <w:rPr>
          <w:rFonts w:ascii="仿宋_GB2312" w:hAnsi="仿宋_GB2312" w:eastAsia="仿宋_GB2312" w:cs="仿宋_GB2312"/>
          <w:color w:val="auto"/>
          <w:sz w:val="28"/>
          <w:szCs w:val="28"/>
        </w:rPr>
        <w:t>。</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rPr>
        <w:t>机关事业单位在编人员以及从机关事业单位辞职、辞退、辞聘、解聘等人员</w:t>
      </w:r>
      <w:r>
        <w:rPr>
          <w:rFonts w:ascii="仿宋_GB2312" w:hAnsi="仿宋_GB2312" w:eastAsia="仿宋_GB2312" w:cs="仿宋_GB2312"/>
          <w:color w:val="auto"/>
          <w:sz w:val="28"/>
          <w:szCs w:val="28"/>
        </w:rPr>
        <w:t>，不享受加分</w:t>
      </w:r>
      <w:r>
        <w:rPr>
          <w:rFonts w:hint="eastAsia" w:ascii="仿宋_GB2312" w:hAnsi="仿宋_GB2312" w:eastAsia="仿宋_GB2312" w:cs="仿宋_GB2312"/>
          <w:color w:val="auto"/>
          <w:sz w:val="28"/>
          <w:szCs w:val="28"/>
        </w:rPr>
        <w:t>、定向</w:t>
      </w:r>
      <w:r>
        <w:rPr>
          <w:rFonts w:ascii="仿宋_GB2312" w:hAnsi="仿宋_GB2312" w:eastAsia="仿宋_GB2312" w:cs="仿宋_GB2312"/>
          <w:color w:val="auto"/>
          <w:sz w:val="28"/>
          <w:szCs w:val="28"/>
        </w:rPr>
        <w:t>政策。</w:t>
      </w:r>
    </w:p>
    <w:p>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六、本次招聘中定向岗位的，需要具备哪些条件？</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报考面向从成都市应征入伍的退役大学生士兵或经组织选派在成都市服务的高校毕业生服务基层项目人员定向招聘岗位的应聘人员须具备以下条件：</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成都市应征入伍的退役大学生士兵。应征入伍时取得普通高等教育大学专科及以上学历、或者入伍时普通高等教育在校在读生，且具有两年以上服现役经历并按规定办理了退役手续的退役士兵。退役大学生士兵须于2025年7月31日前取得国家承认学历的毕业证、学位证等证书。</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经组织选派在成都市服务的高校毕业生服务基层项目人员。一是原成都市高校毕业生服务基层项目人员，即:“一村（社区）一名大学生计划”“农村特设教师岗位计划”“基层卫生机构大学生支医计划”人员和“大学生服务社区就业和社会保障计划”志愿者。二是服务成都市乡镇及以下单位，服务期满两年及以上考核合格的四川省委组织部选派的“大学生村干部”和团中央选派的“大学生志愿服务西部计划”志愿者。以上两类人员志愿服务期满且经服务所在区（市）县项目管理部门考核合格（服务期限认定截止时间为2025年5月6日,本次公开招聘报名第一日</w:t>
      </w:r>
      <w:r>
        <w:rPr>
          <w:rFonts w:hint="eastAsia" w:ascii="仿宋_GB2312" w:hAnsi="仿宋_GB2312" w:eastAsia="仿宋_GB2312" w:cs="仿宋_GB2312"/>
          <w:sz w:val="28"/>
          <w:szCs w:val="28"/>
        </w:rPr>
        <w:t>）。</w:t>
      </w:r>
      <w:bookmarkStart w:id="0" w:name="_GoBack"/>
      <w:bookmarkEnd w:id="0"/>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七</w:t>
      </w:r>
      <w:r>
        <w:rPr>
          <w:rFonts w:ascii="黑体" w:hAnsi="黑体" w:eastAsia="黑体" w:cs="黑体"/>
          <w:sz w:val="28"/>
          <w:szCs w:val="28"/>
        </w:rPr>
        <w:t>、本次招聘中需提供哪些面试资格审查材料？</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w:t>
      </w:r>
      <w:r>
        <w:rPr>
          <w:rFonts w:ascii="仿宋_GB2312" w:hAnsi="仿宋_GB2312" w:eastAsia="仿宋_GB2312" w:cs="仿宋_GB2312"/>
          <w:color w:val="auto"/>
          <w:sz w:val="28"/>
          <w:szCs w:val="28"/>
        </w:rPr>
        <w:t>部门开具的就读院系及专业等情况的证明原件。</w:t>
      </w:r>
    </w:p>
    <w:p>
      <w:pPr>
        <w:spacing w:line="500" w:lineRule="exact"/>
        <w:ind w:firstLine="560" w:firstLineChars="200"/>
        <w:rPr>
          <w:rFonts w:ascii="仿宋_GB2312" w:hAnsi="仿宋_GB2312" w:eastAsia="仿宋_GB2312" w:cs="仿宋_GB2312"/>
          <w:color w:val="auto"/>
          <w:sz w:val="28"/>
          <w:szCs w:val="28"/>
        </w:rPr>
      </w:pPr>
      <w:r>
        <w:rPr>
          <w:rFonts w:ascii="仿宋_GB2312" w:hAnsi="仿宋_GB2312" w:eastAsia="仿宋_GB2312" w:cs="仿宋_GB2312"/>
          <w:color w:val="auto"/>
          <w:sz w:val="28"/>
          <w:szCs w:val="28"/>
        </w:rPr>
        <w:t>4.其他与报考资格相关的材料。</w:t>
      </w:r>
      <w:r>
        <w:rPr>
          <w:rFonts w:hint="eastAsia" w:ascii="仿宋_GB2312" w:hAnsi="仿宋_GB2312" w:eastAsia="仿宋_GB2312" w:cs="仿宋_GB2312"/>
          <w:color w:val="auto"/>
          <w:sz w:val="28"/>
          <w:szCs w:val="28"/>
        </w:rPr>
        <w:t>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pPr>
        <w:spacing w:line="500" w:lineRule="exact"/>
        <w:ind w:firstLine="560" w:firstLineChars="200"/>
        <w:jc w:val="left"/>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5</w:t>
      </w:r>
      <w:r>
        <w:rPr>
          <w:rFonts w:hint="eastAsia" w:ascii="仿宋_GB2312" w:hAnsi="仿宋_GB2312" w:eastAsia="仿宋_GB2312" w:cs="仿宋_GB2312"/>
          <w:color w:val="auto"/>
          <w:sz w:val="28"/>
          <w:szCs w:val="28"/>
          <w:highlight w:val="none"/>
        </w:rPr>
        <w:t>.</w:t>
      </w:r>
      <w:r>
        <w:rPr>
          <w:rFonts w:ascii="仿宋_GB2312" w:hAnsi="仿宋_GB2312" w:eastAsia="仿宋_GB2312" w:cs="仿宋_GB2312"/>
          <w:color w:val="auto"/>
          <w:sz w:val="28"/>
          <w:szCs w:val="28"/>
          <w:highlight w:val="none"/>
        </w:rPr>
        <w:t>符合条件的机关事业单位人员</w:t>
      </w:r>
      <w:r>
        <w:rPr>
          <w:rFonts w:hint="eastAsia" w:ascii="仿宋_GB2312" w:hAnsi="仿宋_GB2312" w:eastAsia="仿宋_GB2312" w:cs="仿宋_GB2312"/>
          <w:color w:val="auto"/>
          <w:sz w:val="28"/>
          <w:szCs w:val="28"/>
          <w:highlight w:val="none"/>
        </w:rPr>
        <w:t>报名应聘</w:t>
      </w:r>
      <w:r>
        <w:rPr>
          <w:rFonts w:ascii="仿宋_GB2312" w:hAnsi="仿宋_GB2312" w:eastAsia="仿宋_GB2312" w:cs="仿宋_GB2312"/>
          <w:color w:val="auto"/>
          <w:sz w:val="28"/>
          <w:szCs w:val="28"/>
          <w:highlight w:val="none"/>
        </w:rPr>
        <w:t>须按干部管理权限征得用人单位及相关部门书面同意。</w:t>
      </w:r>
    </w:p>
    <w:p>
      <w:pPr>
        <w:spacing w:line="500" w:lineRule="exact"/>
        <w:ind w:firstLine="560" w:firstLineChars="200"/>
      </w:pPr>
      <w:r>
        <w:rPr>
          <w:rFonts w:hint="eastAsia" w:ascii="仿宋_GB2312" w:hAnsi="仿宋_GB2312" w:eastAsia="仿宋_GB2312" w:cs="仿宋_GB2312"/>
          <w:sz w:val="28"/>
          <w:szCs w:val="28"/>
          <w:highlight w:val="none"/>
        </w:rPr>
        <w:t>6.</w:t>
      </w:r>
      <w:r>
        <w:rPr>
          <w:rFonts w:ascii="仿宋_GB2312" w:hAnsi="仿宋_GB2312" w:eastAsia="仿宋_GB2312" w:cs="仿宋_GB2312"/>
          <w:sz w:val="28"/>
          <w:szCs w:val="28"/>
          <w:highlight w:val="none"/>
        </w:rPr>
        <w:t>留学归国人员应持国家教</w:t>
      </w:r>
      <w:r>
        <w:rPr>
          <w:rFonts w:ascii="仿宋_GB2312" w:hAnsi="仿宋_GB2312" w:eastAsia="仿宋_GB2312" w:cs="仿宋_GB2312"/>
          <w:sz w:val="28"/>
          <w:szCs w:val="28"/>
        </w:rPr>
        <w:t>育部留学服务中心认证学历、学位参加资格审查。</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八</w:t>
      </w:r>
      <w:r>
        <w:rPr>
          <w:rFonts w:ascii="黑体" w:hAnsi="黑体" w:eastAsia="黑体" w:cs="黑体"/>
          <w:sz w:val="28"/>
          <w:szCs w:val="28"/>
        </w:rPr>
        <w:t>、违纪违规及存在不诚信情形的应聘人员如何处理？</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九</w:t>
      </w:r>
      <w:r>
        <w:rPr>
          <w:rFonts w:ascii="黑体" w:hAnsi="黑体" w:eastAsia="黑体" w:cs="黑体"/>
          <w:sz w:val="28"/>
          <w:szCs w:val="28"/>
        </w:rPr>
        <w:t>、申请减免报考费用</w:t>
      </w:r>
      <w:r>
        <w:rPr>
          <w:rFonts w:hint="eastAsia" w:ascii="黑体" w:hAnsi="黑体" w:eastAsia="黑体" w:cs="黑体"/>
          <w:sz w:val="28"/>
          <w:szCs w:val="28"/>
        </w:rPr>
        <w:t>办理手续</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sz w:val="28"/>
          <w:szCs w:val="28"/>
        </w:rPr>
        <w:t>1.适用人员：享受国家最低生活保障金的城镇、农村家庭考生；脱贫户</w:t>
      </w:r>
      <w:r>
        <w:rPr>
          <w:rFonts w:hint="eastAsia" w:ascii="仿宋_GB2312" w:hAnsi="仿宋_GB2312" w:eastAsia="仿宋_GB2312" w:cs="仿宋_GB2312"/>
          <w:color w:val="auto"/>
          <w:sz w:val="28"/>
          <w:szCs w:val="28"/>
          <w:highlight w:val="none"/>
        </w:rPr>
        <w:t>家庭考生；父母双亡、父母一方为烈士或一级伤残军人，且生活十分困难家庭考生。</w:t>
      </w:r>
    </w:p>
    <w:p>
      <w:pPr>
        <w:spacing w:line="50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2.办理地点：成都市人事考试中心（成都市青羊区清江东路118号3号楼一楼报名大厅，联系电话：028-61802812，</w:t>
      </w:r>
      <w:r>
        <w:rPr>
          <w:rFonts w:hint="eastAsia" w:ascii="仿宋_GB2312" w:eastAsia="仿宋_GB2312"/>
          <w:snapToGrid w:val="0"/>
          <w:color w:val="auto"/>
          <w:kern w:val="0"/>
          <w:sz w:val="32"/>
          <w:szCs w:val="32"/>
          <w:highlight w:val="none"/>
        </w:rPr>
        <w:t>028-61802797</w:t>
      </w:r>
      <w:r>
        <w:rPr>
          <w:rFonts w:hint="eastAsia" w:ascii="仿宋_GB2312" w:hAnsi="仿宋_GB2312" w:eastAsia="仿宋_GB2312" w:cs="仿宋_GB2312"/>
          <w:color w:val="auto"/>
          <w:sz w:val="28"/>
          <w:szCs w:val="28"/>
          <w:highlight w:val="none"/>
        </w:rPr>
        <w:t>）。</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auto"/>
          <w:sz w:val="28"/>
          <w:szCs w:val="28"/>
          <w:highlight w:val="none"/>
        </w:rPr>
        <w:t>3.办理时间：2025年5月6日-5月12日（工作日每日9点-17点），5月12日17点以后提交材料或者提供材料不符合相</w:t>
      </w:r>
      <w:r>
        <w:rPr>
          <w:rFonts w:hint="eastAsia" w:ascii="仿宋_GB2312" w:hAnsi="仿宋_GB2312" w:eastAsia="仿宋_GB2312" w:cs="仿宋_GB2312"/>
          <w:sz w:val="28"/>
          <w:szCs w:val="28"/>
        </w:rPr>
        <w:t>关要求的不做减免处理。</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（1）首先在网上完成报名，需先缴纳报名费用。</w:t>
      </w:r>
    </w:p>
    <w:p>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pPr>
        <w:spacing w:line="500" w:lineRule="exact"/>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十</w:t>
      </w:r>
      <w:r>
        <w:rPr>
          <w:rFonts w:hint="eastAsia" w:ascii="黑体" w:hAnsi="黑体" w:eastAsia="黑体" w:cs="黑体"/>
          <w:sz w:val="28"/>
          <w:szCs w:val="28"/>
        </w:rPr>
        <w:t>、其他</w:t>
      </w:r>
    </w:p>
    <w:p>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pPr>
        <w:spacing w:line="570" w:lineRule="exact"/>
        <w:ind w:firstLine="640" w:firstLineChars="200"/>
        <w:rPr>
          <w:rFonts w:ascii="Times New Roman" w:hAnsi="Times New Roman" w:eastAsia="方正仿宋_GB2312"/>
          <w:snapToGrid w:val="0"/>
          <w:kern w:val="0"/>
          <w:sz w:val="32"/>
          <w:szCs w:val="32"/>
        </w:rPr>
      </w:pPr>
    </w:p>
    <w:p>
      <w:pPr>
        <w:spacing w:line="570" w:lineRule="exact"/>
        <w:ind w:firstLine="4800" w:firstLineChars="1500"/>
        <w:rPr>
          <w:rFonts w:ascii="Times New Roman" w:hAnsi="Times New Roman" w:eastAsia="方正仿宋_GB2312"/>
          <w:snapToGrid w:val="0"/>
          <w:kern w:val="0"/>
          <w:sz w:val="32"/>
          <w:szCs w:val="32"/>
        </w:rPr>
      </w:pPr>
    </w:p>
    <w:p>
      <w:pPr>
        <w:ind w:firstLine="453"/>
      </w:pPr>
    </w:p>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FDCB637D-D6F1-42CB-99C2-42A90600CD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embedRegular r:id="rId2" w:fontKey="{535467B5-D4D7-442D-8DF7-DEE4A297EFE9}"/>
  </w:font>
  <w:font w:name="仿宋_GB2312">
    <w:panose1 w:val="02010609030101010101"/>
    <w:charset w:val="86"/>
    <w:family w:val="modern"/>
    <w:pitch w:val="default"/>
    <w:sig w:usb0="00000001" w:usb1="080E0000" w:usb2="00000000" w:usb3="00000000" w:csb0="00040000" w:csb1="00000000"/>
    <w:embedRegular r:id="rId3" w:fontKey="{594DD539-8D4C-4CCE-A217-827817E897CD}"/>
  </w:font>
  <w:font w:name="方正小标宋简体">
    <w:panose1 w:val="02010601030101010101"/>
    <w:charset w:val="86"/>
    <w:family w:val="auto"/>
    <w:pitch w:val="default"/>
    <w:sig w:usb0="00000001" w:usb1="080E0000" w:usb2="00000000" w:usb3="00000000" w:csb0="00040000" w:csb1="00000000"/>
    <w:embedRegular r:id="rId4" w:fontKey="{AD7A50A9-1F34-4117-9CEB-D31F28AA459E}"/>
  </w:font>
  <w:font w:name="楷体_GB2312">
    <w:panose1 w:val="02010609030101010101"/>
    <w:charset w:val="86"/>
    <w:family w:val="modern"/>
    <w:pitch w:val="default"/>
    <w:sig w:usb0="00000001" w:usb1="080E0000" w:usb2="00000000" w:usb3="00000000" w:csb0="00040000" w:csb1="00000000"/>
    <w:embedRegular r:id="rId5" w:fontKey="{A73DB6FB-A7E1-4C6F-BDBA-50C5600E6864}"/>
  </w:font>
  <w:font w:name="方正仿宋_GB2312">
    <w:altName w:val="仿宋"/>
    <w:panose1 w:val="00000000000000000000"/>
    <w:charset w:val="86"/>
    <w:family w:val="auto"/>
    <w:pitch w:val="default"/>
    <w:sig w:usb0="00000000" w:usb1="00000000" w:usb2="00000012" w:usb3="00000000" w:csb0="00040001" w:csb1="00000000"/>
    <w:embedRegular r:id="rId6" w:fontKey="{67FA4322-F514-490C-AC48-CEFC832741C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2" o:spid="_x0000_s1025"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p>
                <w:pPr>
                  <w:pStyle w:val="5"/>
                </w:pPr>
                <w:r>
                  <w:fldChar w:fldCharType="begin"/>
                </w:r>
                <w:r>
                  <w:instrText xml:space="preserve"> PAGE  \* MERGEFORMAT </w:instrText>
                </w:r>
                <w:r>
                  <w:fldChar w:fldCharType="separate"/>
                </w:r>
                <w:r>
                  <w:t>25</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hhNzRmNTAxYTA5M2QxYzdhODc2NGQ4MGNiNjk3MWMifQ=="/>
  </w:docVars>
  <w:rsids>
    <w:rsidRoot w:val="00396EE1"/>
    <w:rsid w:val="000F3A9F"/>
    <w:rsid w:val="00221BAC"/>
    <w:rsid w:val="00297D6F"/>
    <w:rsid w:val="00315B52"/>
    <w:rsid w:val="00396EE1"/>
    <w:rsid w:val="003A2289"/>
    <w:rsid w:val="003B2F16"/>
    <w:rsid w:val="00446DFF"/>
    <w:rsid w:val="00626FE8"/>
    <w:rsid w:val="006312A6"/>
    <w:rsid w:val="006320D0"/>
    <w:rsid w:val="006A2B72"/>
    <w:rsid w:val="006E4D96"/>
    <w:rsid w:val="00753E0B"/>
    <w:rsid w:val="007D7781"/>
    <w:rsid w:val="00807F50"/>
    <w:rsid w:val="008128DE"/>
    <w:rsid w:val="00936353"/>
    <w:rsid w:val="0096300A"/>
    <w:rsid w:val="009B5F15"/>
    <w:rsid w:val="00A27E52"/>
    <w:rsid w:val="00A3673E"/>
    <w:rsid w:val="00B01007"/>
    <w:rsid w:val="00BB47AA"/>
    <w:rsid w:val="00BE2114"/>
    <w:rsid w:val="00C01EF3"/>
    <w:rsid w:val="00C04B85"/>
    <w:rsid w:val="00C45E12"/>
    <w:rsid w:val="00CD4CAE"/>
    <w:rsid w:val="00D91DD7"/>
    <w:rsid w:val="00D964CB"/>
    <w:rsid w:val="00E30223"/>
    <w:rsid w:val="00F63E46"/>
    <w:rsid w:val="0A1D4730"/>
    <w:rsid w:val="0AE6449B"/>
    <w:rsid w:val="0B50357E"/>
    <w:rsid w:val="0D2F48CA"/>
    <w:rsid w:val="2974543F"/>
    <w:rsid w:val="2D252F3D"/>
    <w:rsid w:val="2D2650E7"/>
    <w:rsid w:val="318C5A05"/>
    <w:rsid w:val="44424034"/>
    <w:rsid w:val="4CA87F09"/>
    <w:rsid w:val="4F51769B"/>
    <w:rsid w:val="4F8F3EFB"/>
    <w:rsid w:val="588F1CE1"/>
    <w:rsid w:val="5D7A7E03"/>
    <w:rsid w:val="5E226885"/>
    <w:rsid w:val="63E91B86"/>
    <w:rsid w:val="667F2BF1"/>
    <w:rsid w:val="72A01434"/>
    <w:rsid w:val="7AA712F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Body Text Indent"/>
    <w:basedOn w:val="1"/>
    <w:unhideWhenUsed/>
    <w:uiPriority w:val="99"/>
    <w:pPr>
      <w:widowControl/>
      <w:ind w:firstLine="540" w:firstLineChars="180"/>
      <w:jc w:val="left"/>
    </w:pPr>
    <w:rPr>
      <w:rFonts w:ascii="Times New Roman" w:hAnsi="Times New Roman" w:eastAsia="仿宋_GB2312" w:cs="Times New Roman"/>
      <w:kern w:val="0"/>
      <w:sz w:val="30"/>
      <w:szCs w:val="20"/>
    </w:rPr>
  </w:style>
  <w:style w:type="paragraph" w:styleId="4">
    <w:name w:val="Body Text Indent 2"/>
    <w:basedOn w:val="1"/>
    <w:link w:val="11"/>
    <w:qFormat/>
    <w:uiPriority w:val="0"/>
    <w:pPr>
      <w:ind w:firstLine="480" w:firstLineChars="200"/>
    </w:pPr>
    <w:rPr>
      <w:rFonts w:ascii="仿宋_GB2312" w:eastAsia="仿宋_GB2312"/>
      <w:sz w:val="24"/>
    </w:rPr>
  </w:style>
  <w:style w:type="paragraph" w:styleId="5">
    <w:name w:val="footer"/>
    <w:basedOn w:val="1"/>
    <w:link w:val="10"/>
    <w:unhideWhenUsed/>
    <w:qFormat/>
    <w:uiPriority w:val="0"/>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7"/>
    <w:link w:val="6"/>
    <w:semiHidden/>
    <w:qFormat/>
    <w:uiPriority w:val="99"/>
    <w:rPr>
      <w:sz w:val="18"/>
      <w:szCs w:val="18"/>
    </w:rPr>
  </w:style>
  <w:style w:type="character" w:customStyle="1" w:styleId="10">
    <w:name w:val="页脚 字符"/>
    <w:basedOn w:val="7"/>
    <w:link w:val="5"/>
    <w:semiHidden/>
    <w:qFormat/>
    <w:uiPriority w:val="99"/>
    <w:rPr>
      <w:sz w:val="18"/>
      <w:szCs w:val="18"/>
    </w:rPr>
  </w:style>
  <w:style w:type="character" w:customStyle="1" w:styleId="11">
    <w:name w:val="正文文本缩进 2 字符"/>
    <w:basedOn w:val="7"/>
    <w:link w:val="4"/>
    <w:qFormat/>
    <w:uiPriority w:val="0"/>
    <w:rPr>
      <w:rFonts w:ascii="仿宋_GB2312" w:hAnsi="Calibri" w:eastAsia="仿宋_GB2312" w:cs="Times New Roman"/>
      <w:sz w:val="24"/>
      <w:szCs w:val="24"/>
    </w:rPr>
  </w:style>
  <w:style w:type="character" w:customStyle="1" w:styleId="12">
    <w:name w:val="style51"/>
    <w:qFormat/>
    <w:uiPriority w:val="0"/>
    <w:rPr>
      <w:rFonts w:ascii="Times New Roman" w:hAnsi="Times New Roman" w:eastAsia="宋体" w:cs="Times New Roman"/>
      <w:color w:val="000000"/>
      <w:sz w:val="18"/>
      <w:szCs w:val="18"/>
      <w:u w:val="none"/>
      <w:lang w:bidi="ar-SA"/>
    </w:rPr>
  </w:style>
  <w:style w:type="paragraph" w:customStyle="1" w:styleId="13">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739</Words>
  <Characters>4213</Characters>
  <Lines>35</Lines>
  <Paragraphs>9</Paragraphs>
  <ScaleCrop>false</ScaleCrop>
  <LinksUpToDate>false</LinksUpToDate>
  <CharactersWithSpaces>4943</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123</cp:lastModifiedBy>
  <cp:lastPrinted>2025-04-25T09:32:18Z</cp:lastPrinted>
  <dcterms:modified xsi:type="dcterms:W3CDTF">2025-04-25T09:38:16Z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y fmtid="{D5CDD505-2E9C-101B-9397-08002B2CF9AE}" pid="3" name="ICV">
    <vt:lpwstr>CFBBAA3F842D4DCE8362B560C5522BFB_12</vt:lpwstr>
  </property>
</Properties>
</file>