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6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四川省农业科学院各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公开选调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单位基本情况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</w:rPr>
      </w:pPr>
    </w:p>
    <w:tbl>
      <w:tblPr>
        <w:tblStyle w:val="10"/>
        <w:tblW w:w="13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792"/>
        <w:gridCol w:w="1596"/>
        <w:gridCol w:w="7564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9" w:hRule="exact"/>
          <w:jc w:val="center"/>
        </w:trPr>
        <w:tc>
          <w:tcPr>
            <w:tcW w:w="18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单位名称</w:t>
            </w:r>
          </w:p>
        </w:tc>
        <w:tc>
          <w:tcPr>
            <w:tcW w:w="7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性质</w:t>
            </w:r>
          </w:p>
        </w:tc>
        <w:tc>
          <w:tcPr>
            <w:tcW w:w="15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单位地址</w:t>
            </w:r>
          </w:p>
        </w:tc>
        <w:tc>
          <w:tcPr>
            <w:tcW w:w="75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主要职能</w:t>
            </w:r>
          </w:p>
        </w:tc>
        <w:tc>
          <w:tcPr>
            <w:tcW w:w="17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exact"/>
          <w:jc w:val="center"/>
        </w:trPr>
        <w:tc>
          <w:tcPr>
            <w:tcW w:w="18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四川省农业科学院作物研究所(四川省种质资源中心)</w:t>
            </w:r>
          </w:p>
        </w:tc>
        <w:tc>
          <w:tcPr>
            <w:tcW w:w="79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公益一类事业单位</w:t>
            </w:r>
          </w:p>
        </w:tc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成都市锦江区静平路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666号</w:t>
            </w:r>
          </w:p>
        </w:tc>
        <w:tc>
          <w:tcPr>
            <w:tcW w:w="7564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从事作物（不含经济作物）种质资源学、育种学和耕作栽培学等作物学研究；从事作物公益性、基础性、前瞻性等理论与方法研究；负责农业种质资源的收集、保存和发放利用；研发新材料、新品种、新产品、新技术及配套新装备等科技成果；开展人才培养、国内外合作，以及咨询、规划、评价、培训、科普等技术服务；实施作物科技成果转移转化、示范推广、产业化应用等工作。</w:t>
            </w:r>
          </w:p>
        </w:tc>
        <w:tc>
          <w:tcPr>
            <w:tcW w:w="178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028-84504230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exact"/>
          <w:jc w:val="center"/>
        </w:trPr>
        <w:tc>
          <w:tcPr>
            <w:tcW w:w="18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四川省农业科学院农业资源与环境研究所</w:t>
            </w:r>
          </w:p>
        </w:tc>
        <w:tc>
          <w:tcPr>
            <w:tcW w:w="79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公益一类事业单位</w:t>
            </w:r>
          </w:p>
        </w:tc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成都市锦江区静平路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666号</w:t>
            </w:r>
          </w:p>
        </w:tc>
        <w:tc>
          <w:tcPr>
            <w:tcW w:w="7564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从事土壤健康、环境微生物、植物营养与新型肥料、农业节水与智能装备、农业资源可持续利用、农业环境保护与生态修复、绿色低碳技术、饲草绿肥与耕作栽培等研究与应用；开展国内外合作、人才培养、技术培训、科普等活动；开展资源调查、作物种植、检验检测、生态环境监测与评价、规划咨询等技术服务。</w:t>
            </w:r>
          </w:p>
        </w:tc>
        <w:tc>
          <w:tcPr>
            <w:tcW w:w="178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028-84504591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14" w:hRule="exact"/>
          <w:jc w:val="center"/>
        </w:trPr>
        <w:tc>
          <w:tcPr>
            <w:tcW w:w="18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四川省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农业科学院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植物保护研究所</w:t>
            </w:r>
          </w:p>
        </w:tc>
        <w:tc>
          <w:tcPr>
            <w:tcW w:w="79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公益一类事业单位</w:t>
            </w:r>
          </w:p>
        </w:tc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成都市锦江区净居寺路20号</w:t>
            </w:r>
          </w:p>
        </w:tc>
        <w:tc>
          <w:tcPr>
            <w:tcW w:w="7564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从事作物病虫草鼠害监测预警、危害规律、成灾机理与防控技术研究及产品研发；作物品种抗病虫性鉴定评价、抗源筛选与应用；植物有害生物与入侵物种检测、鉴定及生物安全评价；农药药效、残留、环境评价和抗药性监测；现代植保技术与绿色农产品研究与应用；有害生物防控咨询、规划、培训等服务与成果转化。</w:t>
            </w:r>
          </w:p>
        </w:tc>
        <w:tc>
          <w:tcPr>
            <w:tcW w:w="178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028-84504068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22" w:hRule="exact"/>
          <w:jc w:val="center"/>
        </w:trPr>
        <w:tc>
          <w:tcPr>
            <w:tcW w:w="18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四川省畜牧科学研究院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四川省阳平种牛场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79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公益一类事业单位</w:t>
            </w:r>
          </w:p>
        </w:tc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成都市锦江区牛沙路7号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四川省阳平种牛场：眉山市洪雅县阳平路66号</w:t>
            </w:r>
          </w:p>
        </w:tc>
        <w:tc>
          <w:tcPr>
            <w:tcW w:w="7564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从事动物遗传育种与繁殖、畜禽遗传资源保护与利用、畜禽新品种培育、动物营养与饲料饲草、兽医与兽药、畜禽养殖技术、畜产品与乳制品加工、畜牧经济等研发；开展相关领域研究与开发工作；建设管理畜牧科技创新平台，提供优良种畜禽、饲料饲草、兽药；转化科技成果，推广应用技术；开展畜牧工程咨询、技术培训、畜牧兽医检验检测等服务。</w:t>
            </w:r>
          </w:p>
        </w:tc>
        <w:tc>
          <w:tcPr>
            <w:tcW w:w="178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028-84522380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exact"/>
          <w:jc w:val="center"/>
        </w:trPr>
        <w:tc>
          <w:tcPr>
            <w:tcW w:w="18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四川省农业机械科学研究院</w:t>
            </w:r>
          </w:p>
        </w:tc>
        <w:tc>
          <w:tcPr>
            <w:tcW w:w="79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公益一类事业单位</w:t>
            </w:r>
          </w:p>
        </w:tc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成都市锦江区牛沙路5号</w:t>
            </w:r>
          </w:p>
        </w:tc>
        <w:tc>
          <w:tcPr>
            <w:tcW w:w="7564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从事农机化发展战略研究、农机基础理论和标准体系研究；开展现代农机、智慧农业、设施农业、农业灌溉、烘干冷链、农产品加工等装备研发；开展农业工程、新能源利用、农业废弃物处理等应用研究；开展通用设备及农业装备检验检测，合作交流，成果转化，规划、咨询、培训等服务；承办《四川农业与农机》杂志。</w:t>
            </w:r>
          </w:p>
        </w:tc>
        <w:tc>
          <w:tcPr>
            <w:tcW w:w="178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028-84539291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exact"/>
          <w:jc w:val="center"/>
        </w:trPr>
        <w:tc>
          <w:tcPr>
            <w:tcW w:w="18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四川省农业科学院生物技术核技术研究所</w:t>
            </w:r>
          </w:p>
        </w:tc>
        <w:tc>
          <w:tcPr>
            <w:tcW w:w="79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公益一类事业单位</w:t>
            </w:r>
          </w:p>
        </w:tc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成都市锦江区锦江区静缘路66号</w:t>
            </w:r>
          </w:p>
        </w:tc>
        <w:tc>
          <w:tcPr>
            <w:tcW w:w="7564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从事生物育种、辐射诱变、航天诱变、农化技术等基础研究与科技创新；开展种质资源分子检测与生物信息分析，分子育种与新品种选育，辐射工艺与农化产品等技术攻关及标准研究；开展基因工程、射线辐照、规划咨询、科技培训、科普宣传、成果转化等技术服务，以及植物新品种、专利等知识产权转移转化。</w:t>
            </w:r>
          </w:p>
        </w:tc>
        <w:tc>
          <w:tcPr>
            <w:tcW w:w="178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028-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84504320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55" w:hRule="exact"/>
          <w:jc w:val="center"/>
        </w:trPr>
        <w:tc>
          <w:tcPr>
            <w:tcW w:w="18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四川省农业科学院遥感与数字农业研究所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(成都农业遥感分中心)</w:t>
            </w:r>
          </w:p>
        </w:tc>
        <w:tc>
          <w:tcPr>
            <w:tcW w:w="79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公益一类事业单位</w:t>
            </w:r>
          </w:p>
        </w:tc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成都市锦江区净居寺路20号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附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102号</w:t>
            </w:r>
          </w:p>
        </w:tc>
        <w:tc>
          <w:tcPr>
            <w:tcW w:w="7564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从事农业遥感、数字农业、数字乡村、智慧生态农业、农业空间等基础研究；开展自然资源遥感调查与利用、农业生产遥感监测、时空大数据系统及平台、物联网智能装备、农业碳排放、土地利用等应用研究与标准研究；开展科技成果转移转化，提供测绘、规划、评价、培训等科技服务。</w:t>
            </w:r>
          </w:p>
        </w:tc>
        <w:tc>
          <w:tcPr>
            <w:tcW w:w="178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028-84504162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32" w:hRule="exact"/>
          <w:jc w:val="center"/>
        </w:trPr>
        <w:tc>
          <w:tcPr>
            <w:tcW w:w="18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四川省农业科学院农业信息与农村经济研究所</w:t>
            </w:r>
          </w:p>
        </w:tc>
        <w:tc>
          <w:tcPr>
            <w:tcW w:w="79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公益一类事业单位</w:t>
            </w:r>
          </w:p>
        </w:tc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成都市锦江区净居寺路20号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附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101号</w:t>
            </w:r>
          </w:p>
        </w:tc>
        <w:tc>
          <w:tcPr>
            <w:tcW w:w="7564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从事农业经济、农村发展、生态经济、数字经济、乡村地理、土地科学、信息技术等研究，建设农业科技型智库，为全省“三农”工作提供智力支撑；开展农业信息、规划咨询、科技查新、科普、媒传等成果转化与技术服务；开展全院图书文献、网络运维与信息化建设；编辑出版发行《西南农业学报》《四川农业科技》。</w:t>
            </w:r>
          </w:p>
        </w:tc>
        <w:tc>
          <w:tcPr>
            <w:tcW w:w="178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028-84504190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exact"/>
          <w:jc w:val="center"/>
        </w:trPr>
        <w:tc>
          <w:tcPr>
            <w:tcW w:w="18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四川省农业科学院农业质量标准与检测技术研究所</w:t>
            </w:r>
          </w:p>
        </w:tc>
        <w:tc>
          <w:tcPr>
            <w:tcW w:w="79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公益二类事业单位</w:t>
            </w:r>
          </w:p>
        </w:tc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成都市锦江区净居寺路20号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附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102号</w:t>
            </w:r>
          </w:p>
        </w:tc>
        <w:tc>
          <w:tcPr>
            <w:tcW w:w="7564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从事农产品质量安全科学研究和技术创新；开展农产品、产地环境、农业投入品等检测评价鉴定；开展农业标准研究、农产品营养品质、农产品全程质量控制技术体系、现代农业全产业链标准化、农产品质量安全风险评估、转基因与生物技术产品安全评价等研发；开展咨询、培训、合作交流和成果转化等科技服务。</w:t>
            </w:r>
          </w:p>
        </w:tc>
        <w:tc>
          <w:tcPr>
            <w:tcW w:w="178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028-84504677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exact"/>
          <w:jc w:val="center"/>
        </w:trPr>
        <w:tc>
          <w:tcPr>
            <w:tcW w:w="18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四川省农业科学院园艺研究所</w:t>
            </w:r>
          </w:p>
        </w:tc>
        <w:tc>
          <w:tcPr>
            <w:tcW w:w="79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公益一类事业单位</w:t>
            </w:r>
          </w:p>
        </w:tc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成都市锦江区净居寺路20号</w:t>
            </w:r>
          </w:p>
        </w:tc>
        <w:tc>
          <w:tcPr>
            <w:tcW w:w="7564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从事果树、蔬菜、花卉等园艺作物基础研究与应用研究；开展园艺作物种质资源收集、保存、评价与优异种质创制，新品种选育，种苗良繁技术研发与应用，现代栽培技术研究与示范，设施园艺和植物工厂技术研发；开展科技成果转化与开发，规范设计和建设，技术咨询服务，技术培训等工作。</w:t>
            </w:r>
          </w:p>
        </w:tc>
        <w:tc>
          <w:tcPr>
            <w:tcW w:w="178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028-84504775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7" w:hRule="exact"/>
          <w:jc w:val="center"/>
        </w:trPr>
        <w:tc>
          <w:tcPr>
            <w:tcW w:w="18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四川省农业科学院茶叶研究所</w:t>
            </w:r>
          </w:p>
        </w:tc>
        <w:tc>
          <w:tcPr>
            <w:tcW w:w="79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公益一类事业单位</w:t>
            </w:r>
          </w:p>
        </w:tc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成都市锦江区净居寺路20号</w:t>
            </w:r>
          </w:p>
        </w:tc>
        <w:tc>
          <w:tcPr>
            <w:tcW w:w="7564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从事茶树种质资源收集保护利用及新品种选育，优质高效栽培及绿色防控，以及茶叶加工与装备、生物化学与健康、产品质量评价与检验检测、综合利用与新产品开发等基础研究与应用研究；开展茶文化茶经济等产业融合研究；开展茶叶职业技能培训与鉴定、产业发展规划与标准研究、成果转化及咨询服务等工作。</w:t>
            </w:r>
          </w:p>
        </w:tc>
        <w:tc>
          <w:tcPr>
            <w:tcW w:w="178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028-84504436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21" w:hRule="exact"/>
          <w:jc w:val="center"/>
        </w:trPr>
        <w:tc>
          <w:tcPr>
            <w:tcW w:w="18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四川省农业科学院农产品加工研究所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四川省农业科学院食物与营养健康研究所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79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公益一类事业单位</w:t>
            </w:r>
          </w:p>
        </w:tc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成都市锦江区狮子山路60号</w:t>
            </w:r>
          </w:p>
        </w:tc>
        <w:tc>
          <w:tcPr>
            <w:tcW w:w="7564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从事农产品贮运保鲜与品质调控、食物营养与健康功效、食品微生物与发酵工程，以及新资源食品、食品生物制造、加工质量安全等研究；开展农产品加工关键技术、食品智能制造及配套设备研发；开展成果转化、产品评价、咨询、规划、培训等服务。</w:t>
            </w:r>
          </w:p>
        </w:tc>
        <w:tc>
          <w:tcPr>
            <w:tcW w:w="178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028-84504628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exact"/>
          <w:jc w:val="center"/>
        </w:trPr>
        <w:tc>
          <w:tcPr>
            <w:tcW w:w="18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四川省食用菌研究所</w:t>
            </w:r>
          </w:p>
        </w:tc>
        <w:tc>
          <w:tcPr>
            <w:tcW w:w="79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公益一类事业单位</w:t>
            </w:r>
          </w:p>
        </w:tc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成都市锦江区静平路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666号</w:t>
            </w:r>
          </w:p>
        </w:tc>
        <w:tc>
          <w:tcPr>
            <w:tcW w:w="7564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从事食用菌等菌物资源保护与利用、种质创新与育种、生理生态与栽培、智能制造与工艺、贮运加工与功能食品、品质与安全评价、生物技术与人类健康、农业微生物与环境生态等研究；开展对外合作、人才培养、科普宣传等活动；开展农业微生物资源调查、鉴定测试、成果转化、知识产权保护、咨询培训等技术服务。</w:t>
            </w:r>
          </w:p>
        </w:tc>
        <w:tc>
          <w:tcPr>
            <w:tcW w:w="178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028-84504867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exact"/>
          <w:jc w:val="center"/>
        </w:trPr>
        <w:tc>
          <w:tcPr>
            <w:tcW w:w="18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四川省农业科学院水稻高粱研究所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四川省农业科学院德阳分院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79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公益一类事业单位</w:t>
            </w:r>
          </w:p>
        </w:tc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总部：德阳市旌阳区玉泉路508号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分部：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泸州市龙马潭区香林路二段5号</w:t>
            </w:r>
          </w:p>
        </w:tc>
        <w:tc>
          <w:tcPr>
            <w:tcW w:w="7564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从事水稻、高粱、玉米、萝卜等作物基础与应用公益性研究；开展种质资源创新与利用、新品种培育、栽培与耕作、绿色防控等研究；开展酿酒生物技术、生产应急技术、智慧农业生产等未来技术研发；开展新产品研制、成果转化、国内外合作、技术培训咨询服务、产业发展规划与标准研究等工作。</w:t>
            </w:r>
          </w:p>
        </w:tc>
        <w:tc>
          <w:tcPr>
            <w:tcW w:w="178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0838-2539263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7" w:hRule="exact"/>
          <w:jc w:val="center"/>
        </w:trPr>
        <w:tc>
          <w:tcPr>
            <w:tcW w:w="18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四川省农业科学院经济作物研究所</w:t>
            </w:r>
          </w:p>
        </w:tc>
        <w:tc>
          <w:tcPr>
            <w:tcW w:w="79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公益一类事业单位</w:t>
            </w:r>
          </w:p>
        </w:tc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成都市青白江区华金大道三段159号</w:t>
            </w:r>
          </w:p>
        </w:tc>
        <w:tc>
          <w:tcPr>
            <w:tcW w:w="7564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从事中药材、花生、豆类、杂粮、小浆果、烟草、棉花、菜用植物等经济作物的基础与应用研究；开展资源创新、品种选育、栽培植保、加工利用等研究；开展产业链关键技术、产品、装备等研发；开展科技成果示范与转移转化、合作交流等工作；开展产业规划、咨询培训、检验检测等技术服务。</w:t>
            </w:r>
          </w:p>
        </w:tc>
        <w:tc>
          <w:tcPr>
            <w:tcW w:w="178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028-68907208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1" w:hRule="exact"/>
          <w:jc w:val="center"/>
        </w:trPr>
        <w:tc>
          <w:tcPr>
            <w:tcW w:w="18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四川省农业科学院蚕业研究所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四川省农业科学院特种经济动植物研究所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79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公益一类事业单位</w:t>
            </w:r>
          </w:p>
        </w:tc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南充市顺庆区合众街97号</w:t>
            </w:r>
          </w:p>
        </w:tc>
        <w:tc>
          <w:tcPr>
            <w:tcW w:w="7564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从事蚕桑、牧草、蜜蜂等特种经济动植物种质资源收集保护利用及新品种选育；开展蚕桑、牧草、蜜蜂等优质高效种养，绿色防控，设施装备，资源利用，丝绸加工等研究；开展蚕桑、牧草、蜜蜂等新产品开发及质量检测；开展合作交流、示范推广、成果转化、规划咨询、培训指导等科技服务；承办《四川蚕业》杂志。</w:t>
            </w:r>
          </w:p>
        </w:tc>
        <w:tc>
          <w:tcPr>
            <w:tcW w:w="178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0817-2914310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exact"/>
          <w:jc w:val="center"/>
        </w:trPr>
        <w:tc>
          <w:tcPr>
            <w:tcW w:w="18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四川省农业科学院水产研究所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四川省水产研究所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79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公益一类事业单位</w:t>
            </w:r>
          </w:p>
        </w:tc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总部：成都市高新区西部园区西源大道1611号 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分部：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宜宾市翠屏区高庄桥社区156号</w:t>
            </w:r>
          </w:p>
        </w:tc>
        <w:tc>
          <w:tcPr>
            <w:tcW w:w="7564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从事渔业资源保护与利用、品种选育，以及水生生物增殖养殖、渔业环境、渔业工程、水产品加工、渔业经济与信息等基础研究与应用研究；开展水产新技术、新产品的研发、引进与推广，以及生态调查评估与鉴定、环境修复、渔业增殖等工作；开展产业规划、知识产权、成果转化、培训、科普、咨询等技术服务。</w:t>
            </w:r>
          </w:p>
        </w:tc>
        <w:tc>
          <w:tcPr>
            <w:tcW w:w="178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028-87955508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exact"/>
          <w:jc w:val="center"/>
        </w:trPr>
        <w:tc>
          <w:tcPr>
            <w:tcW w:w="18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四川省农业特色植物研究院</w:t>
            </w:r>
          </w:p>
        </w:tc>
        <w:tc>
          <w:tcPr>
            <w:tcW w:w="79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公益一类事业单位</w:t>
            </w:r>
          </w:p>
        </w:tc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内江市资中县重龙镇永兴路14号</w:t>
            </w:r>
          </w:p>
        </w:tc>
        <w:tc>
          <w:tcPr>
            <w:tcW w:w="7564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从事特色植物资源的调查收集、开发利用及保护等基础和应用研究；开展能源植物、香辛植物、观赏植物、药用植物等植物资源研究；开展植物新品种、新产品、新技术等研发；开展成果转化、示范推广、合作交流、规划咨询、培训指导、科学普及等科技服务。</w:t>
            </w:r>
          </w:p>
        </w:tc>
        <w:tc>
          <w:tcPr>
            <w:tcW w:w="178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0832-5520753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Times New Roman" w:hAnsi="Times New Roman" w:eastAsia="国标黑体" w:cs="Times New Roman"/>
          <w:color w:val="000000"/>
          <w:sz w:val="32"/>
          <w:szCs w:val="32"/>
          <w:shd w:val="clear" w:color="auto" w:fill="FFFFFF"/>
          <w:lang w:val="en-US" w:eastAsia="zh-CN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6838" w:h="11906" w:orient="landscape"/>
      <w:pgMar w:top="1587" w:right="2098" w:bottom="1281" w:left="1984" w:header="851" w:footer="850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ingfang sc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FgAAAGRycy9QSwECFAAUAAAACACHTuJAuXW5UtAAAAAFAQAADwAAAAAAAAABACAAAAA4AAAAZHJz&#10;L2Rvd25yZXYueG1sUEsBAhQAFAAAAAgAh07iQNf/PgG9AQAAewMAAA4AAAAAAAAAAQAgAAAANQ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C5dblS0AAAAAUBAAAP&#10;AAAAAAAAAAEAIAAAADgAAABkcnMvZG93bnJldi54bWxQSwECFAAUAAAACACHTuJAWOVTWdEBAACe&#10;AwAADgAAAAAAAAABACAAAAA1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FDFACFA"/>
    <w:rsid w:val="3F6F0C4D"/>
    <w:rsid w:val="3F7E8344"/>
    <w:rsid w:val="41FF902E"/>
    <w:rsid w:val="652BBDA3"/>
    <w:rsid w:val="73FF4D6F"/>
    <w:rsid w:val="7BF75021"/>
    <w:rsid w:val="7BFF347B"/>
    <w:rsid w:val="7D3E687B"/>
    <w:rsid w:val="7DEC25E1"/>
    <w:rsid w:val="7EFF3F67"/>
    <w:rsid w:val="9FFE0D64"/>
    <w:rsid w:val="BF6E5308"/>
    <w:rsid w:val="CDFE3941"/>
    <w:rsid w:val="D39FA0E7"/>
    <w:rsid w:val="DFED8A51"/>
    <w:rsid w:val="E6EB2707"/>
    <w:rsid w:val="F39DFF1D"/>
    <w:rsid w:val="FD2E793B"/>
    <w:rsid w:val="FDF70BBE"/>
    <w:rsid w:val="FDF7BC45"/>
    <w:rsid w:val="FF7DE192"/>
    <w:rsid w:val="FFEE8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cs="Times New Roman"/>
      <w:b/>
      <w:kern w:val="0"/>
      <w:sz w:val="36"/>
      <w:szCs w:val="36"/>
    </w:rPr>
  </w:style>
  <w:style w:type="character" w:default="1" w:styleId="11">
    <w:name w:val="Default Paragraph Font"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99"/>
    <w:pPr>
      <w:ind w:firstLine="420" w:firstLineChars="200"/>
    </w:pPr>
    <w:rPr>
      <w:szCs w:val="21"/>
    </w:rPr>
  </w:style>
  <w:style w:type="paragraph" w:styleId="4">
    <w:name w:val="Body Text"/>
    <w:basedOn w:val="1"/>
    <w:next w:val="1"/>
    <w:qFormat/>
    <w:uiPriority w:val="0"/>
    <w:pPr>
      <w:spacing w:line="560" w:lineRule="exact"/>
      <w:ind w:firstLine="480" w:firstLineChars="200"/>
    </w:pPr>
    <w:rPr>
      <w:rFonts w:ascii="Times New Roman" w:hAnsi="Times New Roman" w:eastAsia="仿宋_GB2312"/>
      <w:sz w:val="28"/>
    </w:rPr>
  </w:style>
  <w:style w:type="paragraph" w:styleId="5">
    <w:name w:val="Body Text Indent"/>
    <w:basedOn w:val="1"/>
    <w:qFormat/>
    <w:uiPriority w:val="0"/>
    <w:pPr>
      <w:ind w:firstLine="435"/>
    </w:pPr>
    <w:rPr>
      <w:rFonts w:ascii="仿宋_GB2312" w:hAnsi="Times New Roman" w:eastAsia="仿宋_GB2312"/>
      <w:sz w:val="32"/>
    </w:rPr>
  </w:style>
  <w:style w:type="paragraph" w:styleId="6">
    <w:name w:val="Balloon Text"/>
    <w:basedOn w:val="1"/>
    <w:link w:val="22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customStyle="1" w:styleId="14">
    <w:name w:val="p15"/>
    <w:basedOn w:val="1"/>
    <w:qFormat/>
    <w:uiPriority w:val="0"/>
    <w:pPr>
      <w:widowControl/>
    </w:pPr>
    <w:rPr>
      <w:kern w:val="0"/>
      <w:szCs w:val="21"/>
    </w:rPr>
  </w:style>
  <w:style w:type="paragraph" w:customStyle="1" w:styleId="15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customStyle="1" w:styleId="16">
    <w:name w:val="_Style 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hAnsi="Times New Roman"/>
      <w:vanish/>
      <w:sz w:val="16"/>
    </w:rPr>
  </w:style>
  <w:style w:type="character" w:customStyle="1" w:styleId="17">
    <w:name w:val="font61"/>
    <w:basedOn w:val="11"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  <w:style w:type="paragraph" w:customStyle="1" w:styleId="18">
    <w:name w:val="p17"/>
    <w:basedOn w:val="1"/>
    <w:qFormat/>
    <w:uiPriority w:val="0"/>
    <w:pPr>
      <w:spacing w:line="560" w:lineRule="atLeast"/>
      <w:ind w:firstLine="640"/>
    </w:pPr>
    <w:rPr>
      <w:rFonts w:ascii="pingfang sc" w:hAnsi="pingfang sc" w:eastAsia="pingfang sc" w:cs="Times New Roman"/>
      <w:color w:val="000000"/>
      <w:kern w:val="0"/>
      <w:sz w:val="32"/>
      <w:szCs w:val="32"/>
    </w:rPr>
  </w:style>
  <w:style w:type="character" w:customStyle="1" w:styleId="19">
    <w:name w:val="font7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51"/>
    <w:basedOn w:val="11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21">
    <w:name w:val="font01"/>
    <w:basedOn w:val="11"/>
    <w:qFormat/>
    <w:uiPriority w:val="0"/>
    <w:rPr>
      <w:rFonts w:hint="eastAsia" w:ascii="方正仿宋简体" w:hAnsi="方正仿宋简体" w:eastAsia="方正仿宋简体" w:cs="方正仿宋简体"/>
      <w:b/>
      <w:color w:val="000000"/>
      <w:sz w:val="24"/>
      <w:szCs w:val="24"/>
      <w:u w:val="none"/>
    </w:rPr>
  </w:style>
  <w:style w:type="character" w:customStyle="1" w:styleId="22">
    <w:name w:val="批注框文本 字符"/>
    <w:basedOn w:val="11"/>
    <w:link w:val="6"/>
    <w:qFormat/>
    <w:uiPriority w:val="0"/>
    <w:rPr>
      <w:rFonts w:ascii="Calibri" w:hAnsi="Calibri" w:cs="宋体"/>
      <w:kern w:val="2"/>
      <w:sz w:val="18"/>
      <w:szCs w:val="18"/>
    </w:rPr>
  </w:style>
  <w:style w:type="paragraph" w:customStyle="1" w:styleId="23">
    <w:name w:val="图表目录1"/>
    <w:basedOn w:val="1"/>
    <w:next w:val="1"/>
    <w:qFormat/>
    <w:uiPriority w:val="99"/>
    <w:pPr>
      <w:ind w:left="200" w:leftChars="200" w:hanging="200" w:hangingChars="200"/>
    </w:pPr>
    <w:rPr>
      <w:rFonts w:ascii="Times New Roman" w:hAnsi="Times New Roman" w:eastAsia="仿宋_GB2312"/>
      <w:sz w:val="32"/>
    </w:rPr>
  </w:style>
  <w:style w:type="character" w:customStyle="1" w:styleId="24">
    <w:name w:val="font21"/>
    <w:basedOn w:val="11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  <w:style w:type="character" w:customStyle="1" w:styleId="25">
    <w:name w:val="font41"/>
    <w:basedOn w:val="11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14479</Words>
  <Characters>15916</Characters>
  <Paragraphs>857</Paragraphs>
  <TotalTime>18</TotalTime>
  <ScaleCrop>false</ScaleCrop>
  <LinksUpToDate>false</LinksUpToDate>
  <CharactersWithSpaces>15921</CharactersWithSpaces>
  <Application>WPS Office_11.8.2.1129_F1E327BC-269C-435d-A152-05C5408002CA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2025-05-10T18:11:00Z</dcterms:created>
  <dc:creator>rsc</dc:creator>
  <cp:lastModifiedBy>user</cp:lastModifiedBy>
  <cp:lastPrinted>2025-05-09T09:46:00Z</cp:lastPrinted>
  <dcterms:modified xsi:type="dcterms:W3CDTF">2025-05-13T09:28:51Z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2052-11.8.2.1129</vt:lpwstr>
  </property>
  <property fmtid="{D5CDD505-2E9C-101B-9397-08002B2CF9AE}" pid="3" name="ICV">
    <vt:lpwstr>0e0ed1c5555e418c9ef1a204f439d5dc_23</vt:lpwstr>
  </property>
</Properties>
</file>