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D258">
      <w:pPr>
        <w:overflowPunct w:val="0"/>
        <w:topLinePunct/>
        <w:spacing w:line="600" w:lineRule="exact"/>
        <w:rPr>
          <w:rFonts w:ascii="Times New Roman" w:hAnsi="Times New Roman" w:eastAsia="黑体" w:cs="宋体"/>
          <w:spacing w:val="-6"/>
          <w:sz w:val="36"/>
          <w:szCs w:val="36"/>
        </w:rPr>
      </w:pPr>
      <w:r>
        <w:rPr>
          <w:rFonts w:hint="eastAsia" w:ascii="Times New Roman" w:hAnsi="Times New Roman" w:eastAsia="黑体" w:cs="黑体"/>
          <w:spacing w:val="-6"/>
          <w:sz w:val="32"/>
          <w:szCs w:val="28"/>
        </w:rPr>
        <w:t>附件1</w:t>
      </w:r>
    </w:p>
    <w:p w14:paraId="2D60B72B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宋体"/>
          <w:spacing w:val="-6"/>
          <w:sz w:val="44"/>
          <w:szCs w:val="36"/>
        </w:rPr>
      </w:pPr>
    </w:p>
    <w:p w14:paraId="137A98ED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宋体"/>
          <w:spacing w:val="-6"/>
          <w:sz w:val="44"/>
          <w:szCs w:val="36"/>
          <w:u w:val="single"/>
        </w:rPr>
      </w:pPr>
      <w:r>
        <w:rPr>
          <w:rFonts w:hint="eastAsia" w:ascii="Times New Roman" w:hAnsi="Times New Roman" w:eastAsia="方正小标宋简体" w:cs="宋体"/>
          <w:spacing w:val="-6"/>
          <w:sz w:val="44"/>
          <w:szCs w:val="36"/>
        </w:rPr>
        <w:t>四川省生态环境厅所属事业单位</w:t>
      </w:r>
    </w:p>
    <w:p w14:paraId="2432BC56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宋体"/>
          <w:spacing w:val="-6"/>
          <w:sz w:val="44"/>
          <w:szCs w:val="36"/>
        </w:rPr>
      </w:pPr>
      <w:r>
        <w:rPr>
          <w:rFonts w:hint="eastAsia" w:ascii="Times New Roman" w:hAnsi="Times New Roman" w:eastAsia="方正小标宋简体" w:cs="宋体"/>
          <w:spacing w:val="-6"/>
          <w:sz w:val="44"/>
          <w:szCs w:val="36"/>
        </w:rPr>
        <w:t>2025年公开选调工作人员岗位和条件要求一览表</w:t>
      </w:r>
    </w:p>
    <w:p w14:paraId="5E397DF9">
      <w:pPr>
        <w:overflowPunct w:val="0"/>
        <w:topLinePunct/>
        <w:spacing w:line="600" w:lineRule="exact"/>
        <w:jc w:val="center"/>
        <w:rPr>
          <w:rFonts w:hint="eastAsia" w:ascii="Times New Roman" w:hAnsi="Times New Roman" w:eastAsia="方正小标宋简体" w:cs="宋体"/>
          <w:spacing w:val="-6"/>
          <w:sz w:val="44"/>
          <w:szCs w:val="36"/>
        </w:rPr>
      </w:pPr>
    </w:p>
    <w:tbl>
      <w:tblPr>
        <w:tblStyle w:val="4"/>
        <w:tblW w:w="13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61"/>
        <w:gridCol w:w="1177"/>
        <w:gridCol w:w="594"/>
        <w:gridCol w:w="594"/>
        <w:gridCol w:w="595"/>
        <w:gridCol w:w="1209"/>
        <w:gridCol w:w="500"/>
        <w:gridCol w:w="934"/>
        <w:gridCol w:w="1050"/>
        <w:gridCol w:w="1900"/>
        <w:gridCol w:w="582"/>
        <w:gridCol w:w="538"/>
        <w:gridCol w:w="993"/>
        <w:gridCol w:w="561"/>
        <w:gridCol w:w="562"/>
        <w:gridCol w:w="1129"/>
      </w:tblGrid>
      <w:tr w14:paraId="068C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tblHeader/>
        </w:trPr>
        <w:tc>
          <w:tcPr>
            <w:tcW w:w="661" w:type="dxa"/>
            <w:tcBorders>
              <w:bottom w:val="nil"/>
            </w:tcBorders>
            <w:vAlign w:val="center"/>
          </w:tcPr>
          <w:p w14:paraId="2F012165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</w:tc>
        <w:tc>
          <w:tcPr>
            <w:tcW w:w="1177" w:type="dxa"/>
            <w:vMerge w:val="restart"/>
            <w:vAlign w:val="center"/>
          </w:tcPr>
          <w:p w14:paraId="2421C0E1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选调单位</w:t>
            </w:r>
          </w:p>
          <w:p w14:paraId="695C9489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（类别）</w:t>
            </w:r>
          </w:p>
        </w:tc>
        <w:tc>
          <w:tcPr>
            <w:tcW w:w="1783" w:type="dxa"/>
            <w:gridSpan w:val="3"/>
            <w:vAlign w:val="center"/>
          </w:tcPr>
          <w:p w14:paraId="63ED563C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1209" w:type="dxa"/>
            <w:vMerge w:val="restart"/>
            <w:vAlign w:val="center"/>
          </w:tcPr>
          <w:p w14:paraId="14118AE4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50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5A1CBA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选调人数</w:t>
            </w:r>
          </w:p>
        </w:tc>
        <w:tc>
          <w:tcPr>
            <w:tcW w:w="4466" w:type="dxa"/>
            <w:gridSpan w:val="4"/>
            <w:vAlign w:val="center"/>
          </w:tcPr>
          <w:p w14:paraId="7E79E4F9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538" w:type="dxa"/>
            <w:vMerge w:val="restart"/>
            <w:vAlign w:val="center"/>
          </w:tcPr>
          <w:p w14:paraId="155ECE7A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 w14:paraId="1D83F63A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993" w:type="dxa"/>
            <w:vMerge w:val="restart"/>
            <w:vAlign w:val="center"/>
          </w:tcPr>
          <w:p w14:paraId="7E07A078">
            <w:pPr>
              <w:overflowPunct w:val="0"/>
              <w:topLinePunct/>
              <w:spacing w:line="300" w:lineRule="exact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公共科目</w:t>
            </w:r>
          </w:p>
          <w:p w14:paraId="48119C53">
            <w:pPr>
              <w:overflowPunct w:val="0"/>
              <w:topLinePunct/>
              <w:spacing w:line="300" w:lineRule="exact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笔试名称</w:t>
            </w:r>
          </w:p>
        </w:tc>
        <w:tc>
          <w:tcPr>
            <w:tcW w:w="561" w:type="dxa"/>
            <w:vMerge w:val="restart"/>
            <w:vAlign w:val="center"/>
          </w:tcPr>
          <w:p w14:paraId="411459E2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专业笔试名称</w:t>
            </w:r>
          </w:p>
        </w:tc>
        <w:tc>
          <w:tcPr>
            <w:tcW w:w="562" w:type="dxa"/>
            <w:vMerge w:val="restart"/>
            <w:vAlign w:val="center"/>
          </w:tcPr>
          <w:p w14:paraId="03265688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 w14:paraId="55CB50D7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入围比例</w:t>
            </w:r>
          </w:p>
        </w:tc>
        <w:tc>
          <w:tcPr>
            <w:tcW w:w="1129" w:type="dxa"/>
            <w:vMerge w:val="restart"/>
            <w:vAlign w:val="center"/>
          </w:tcPr>
          <w:p w14:paraId="4D7C0099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A5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tblHeader/>
        </w:trPr>
        <w:tc>
          <w:tcPr>
            <w:tcW w:w="661" w:type="dxa"/>
            <w:tcBorders>
              <w:top w:val="nil"/>
            </w:tcBorders>
          </w:tcPr>
          <w:p w14:paraId="0B44C18B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77" w:type="dxa"/>
            <w:vMerge w:val="continue"/>
            <w:vAlign w:val="center"/>
          </w:tcPr>
          <w:p w14:paraId="3F3BCF5D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14:paraId="57925722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D2C6950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94" w:type="dxa"/>
            <w:vAlign w:val="center"/>
          </w:tcPr>
          <w:p w14:paraId="6C5E2A11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40F9D835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95" w:type="dxa"/>
            <w:vAlign w:val="center"/>
          </w:tcPr>
          <w:p w14:paraId="2A2BDA6A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A9D3D33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209" w:type="dxa"/>
            <w:vMerge w:val="continue"/>
            <w:vAlign w:val="center"/>
          </w:tcPr>
          <w:p w14:paraId="33C769B3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6E41FCEA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vAlign w:val="center"/>
          </w:tcPr>
          <w:p w14:paraId="7F5D0B25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50" w:type="dxa"/>
            <w:vAlign w:val="center"/>
          </w:tcPr>
          <w:p w14:paraId="43F8B930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2CCF455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00" w:type="dxa"/>
            <w:vAlign w:val="center"/>
          </w:tcPr>
          <w:p w14:paraId="0AA529D4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582" w:type="dxa"/>
            <w:vAlign w:val="center"/>
          </w:tcPr>
          <w:p w14:paraId="20DF49D7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538" w:type="dxa"/>
            <w:vMerge w:val="continue"/>
            <w:vAlign w:val="center"/>
          </w:tcPr>
          <w:p w14:paraId="6CBB1C54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085D423B">
            <w:pPr>
              <w:overflowPunct w:val="0"/>
              <w:topLinePunct/>
              <w:spacing w:line="300" w:lineRule="exact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" w:type="dxa"/>
            <w:vMerge w:val="continue"/>
            <w:vAlign w:val="center"/>
          </w:tcPr>
          <w:p w14:paraId="396293AE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Merge w:val="continue"/>
            <w:vAlign w:val="center"/>
          </w:tcPr>
          <w:p w14:paraId="4EA66ED2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vAlign w:val="center"/>
          </w:tcPr>
          <w:p w14:paraId="3E068C0E"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D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restart"/>
            <w:vAlign w:val="center"/>
          </w:tcPr>
          <w:p w14:paraId="3256F35D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生态环境厅</w:t>
            </w:r>
          </w:p>
        </w:tc>
        <w:tc>
          <w:tcPr>
            <w:tcW w:w="1177" w:type="dxa"/>
            <w:vAlign w:val="center"/>
          </w:tcPr>
          <w:p w14:paraId="2FB3E889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四川省环境信息中心</w:t>
            </w:r>
          </w:p>
          <w:p w14:paraId="2D7F3F2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14:paraId="5037284F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32E4941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</w:t>
            </w:r>
          </w:p>
        </w:tc>
        <w:tc>
          <w:tcPr>
            <w:tcW w:w="594" w:type="dxa"/>
            <w:vAlign w:val="center"/>
          </w:tcPr>
          <w:p w14:paraId="3E11B2BF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10523E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2029418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95" w:type="dxa"/>
            <w:vAlign w:val="center"/>
          </w:tcPr>
          <w:p w14:paraId="5E36E07B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71F001AD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00008001001</w:t>
            </w:r>
          </w:p>
        </w:tc>
        <w:tc>
          <w:tcPr>
            <w:tcW w:w="500" w:type="dxa"/>
            <w:vAlign w:val="center"/>
          </w:tcPr>
          <w:p w14:paraId="7D880B2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vAlign w:val="center"/>
          </w:tcPr>
          <w:p w14:paraId="44A654A4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843683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vAlign w:val="center"/>
          </w:tcPr>
          <w:p w14:paraId="2D512225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计算机类（一级学科）</w:t>
            </w:r>
          </w:p>
          <w:p w14:paraId="40A68C9E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计算机科学与技术、软件工程（以上为一级学科）</w:t>
            </w:r>
          </w:p>
        </w:tc>
        <w:tc>
          <w:tcPr>
            <w:tcW w:w="582" w:type="dxa"/>
            <w:vAlign w:val="center"/>
          </w:tcPr>
          <w:p w14:paraId="6D14AE27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vAlign w:val="center"/>
          </w:tcPr>
          <w:p w14:paraId="721D652C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vAlign w:val="center"/>
          </w:tcPr>
          <w:p w14:paraId="63C8DDDB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vAlign w:val="center"/>
          </w:tcPr>
          <w:p w14:paraId="1BA95A6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vAlign w:val="center"/>
          </w:tcPr>
          <w:p w14:paraId="4F0AEB22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C5E9D9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具有2年及以上信息化工作经历；熟悉电子政务、一网通办等政府工作要求</w:t>
            </w:r>
          </w:p>
        </w:tc>
      </w:tr>
      <w:tr w14:paraId="311F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4DEAFC04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7E979401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四川省环境信息中心</w:t>
            </w:r>
          </w:p>
          <w:p w14:paraId="75B15752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14:paraId="47230DF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35B8B339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594" w:type="dxa"/>
            <w:vAlign w:val="center"/>
          </w:tcPr>
          <w:p w14:paraId="6E5E38E9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4FF859E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95" w:type="dxa"/>
            <w:vAlign w:val="center"/>
          </w:tcPr>
          <w:p w14:paraId="04D3F64C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七级及以下</w:t>
            </w:r>
          </w:p>
        </w:tc>
        <w:tc>
          <w:tcPr>
            <w:tcW w:w="1209" w:type="dxa"/>
            <w:vAlign w:val="center"/>
          </w:tcPr>
          <w:p w14:paraId="658F844B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00008001002</w:t>
            </w:r>
          </w:p>
        </w:tc>
        <w:tc>
          <w:tcPr>
            <w:tcW w:w="500" w:type="dxa"/>
            <w:vAlign w:val="center"/>
          </w:tcPr>
          <w:p w14:paraId="336D1BF4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FF0F5D8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EFD134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研究生及以上学历并取得硕士及以上学位</w:t>
            </w:r>
          </w:p>
        </w:tc>
        <w:tc>
          <w:tcPr>
            <w:tcW w:w="1900" w:type="dxa"/>
            <w:vAlign w:val="center"/>
          </w:tcPr>
          <w:p w14:paraId="5A4AD9B8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环境科学与工程（一级学科）</w:t>
            </w:r>
          </w:p>
        </w:tc>
        <w:tc>
          <w:tcPr>
            <w:tcW w:w="582" w:type="dxa"/>
            <w:vAlign w:val="center"/>
          </w:tcPr>
          <w:p w14:paraId="151C810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vAlign w:val="center"/>
          </w:tcPr>
          <w:p w14:paraId="5791406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vAlign w:val="center"/>
          </w:tcPr>
          <w:p w14:paraId="0BED708D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vAlign w:val="center"/>
          </w:tcPr>
          <w:p w14:paraId="7C562BF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vAlign w:val="center"/>
          </w:tcPr>
          <w:p w14:paraId="5819FB2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C548FC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具有2年及以上环境业务管理工作经历；熟悉规划方案、调研报告、工作总结等材料的撰写</w:t>
            </w:r>
          </w:p>
        </w:tc>
      </w:tr>
      <w:tr w14:paraId="0881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restart"/>
            <w:vAlign w:val="center"/>
          </w:tcPr>
          <w:p w14:paraId="5247EE9D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B74F78D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四川省大气污染防治保障中心</w:t>
            </w:r>
          </w:p>
          <w:p w14:paraId="0DBAE381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14:paraId="451AF026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大气污染防治</w:t>
            </w:r>
          </w:p>
        </w:tc>
        <w:tc>
          <w:tcPr>
            <w:tcW w:w="594" w:type="dxa"/>
            <w:vAlign w:val="center"/>
          </w:tcPr>
          <w:p w14:paraId="47503EEE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56CFE9B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95" w:type="dxa"/>
            <w:vAlign w:val="center"/>
          </w:tcPr>
          <w:p w14:paraId="2007E6CB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4DB0BA8C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00008002003</w:t>
            </w:r>
          </w:p>
        </w:tc>
        <w:tc>
          <w:tcPr>
            <w:tcW w:w="500" w:type="dxa"/>
            <w:vAlign w:val="center"/>
          </w:tcPr>
          <w:p w14:paraId="449AAA76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C2F298B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vAlign w:val="center"/>
          </w:tcPr>
          <w:p w14:paraId="550B5EBA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vAlign w:val="center"/>
          </w:tcPr>
          <w:p w14:paraId="02391966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化学类、大气科学类、化工与制药类、环境科学与工程类（以上为一级学科）</w:t>
            </w:r>
          </w:p>
          <w:p w14:paraId="6391F611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化学、大气科学、化学工程与技术、环境科学与工程（以上为一级学科）</w:t>
            </w:r>
          </w:p>
        </w:tc>
        <w:tc>
          <w:tcPr>
            <w:tcW w:w="582" w:type="dxa"/>
            <w:vAlign w:val="center"/>
          </w:tcPr>
          <w:p w14:paraId="2CA602F5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E9D1F80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B7AC3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17BAC31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24DB3B7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56876F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</w:t>
            </w:r>
          </w:p>
        </w:tc>
      </w:tr>
      <w:tr w14:paraId="326C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682A320D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6EE0077F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四川省攀枝花生态环境监测中心站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14:paraId="4F2495BC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594" w:type="dxa"/>
            <w:vAlign w:val="center"/>
          </w:tcPr>
          <w:p w14:paraId="7F179721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595" w:type="dxa"/>
            <w:vAlign w:val="center"/>
          </w:tcPr>
          <w:p w14:paraId="0C4E4B42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八级及以下</w:t>
            </w:r>
          </w:p>
        </w:tc>
        <w:tc>
          <w:tcPr>
            <w:tcW w:w="1209" w:type="dxa"/>
            <w:vAlign w:val="center"/>
          </w:tcPr>
          <w:p w14:paraId="25DF5E97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00008003004</w:t>
            </w:r>
          </w:p>
        </w:tc>
        <w:tc>
          <w:tcPr>
            <w:tcW w:w="500" w:type="dxa"/>
            <w:vAlign w:val="center"/>
          </w:tcPr>
          <w:p w14:paraId="1DBCDDF6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DDCD178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vAlign w:val="center"/>
          </w:tcPr>
          <w:p w14:paraId="0DCA921E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vAlign w:val="center"/>
          </w:tcPr>
          <w:p w14:paraId="1525C98D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化学专业、应用化学专业、环境科学与工程专业、环境工程专业、环境科学专业、资源环境科学专业、农业资源与环境专业（以上为二级学科）</w:t>
            </w:r>
          </w:p>
          <w:p w14:paraId="5CC6B711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分析化学专业、环境科学专业、环境工程专业（以上为二级学科）</w:t>
            </w:r>
          </w:p>
        </w:tc>
        <w:tc>
          <w:tcPr>
            <w:tcW w:w="582" w:type="dxa"/>
            <w:vAlign w:val="center"/>
          </w:tcPr>
          <w:p w14:paraId="65947D74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FDE892D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CD54B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43FB072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92399AA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2447868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</w:t>
            </w:r>
          </w:p>
        </w:tc>
      </w:tr>
      <w:tr w14:paraId="3518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1BCB9BD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183FF20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四川省德阳生态环境监测中心站</w:t>
            </w:r>
          </w:p>
          <w:p w14:paraId="78242944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E5644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DD9142B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595" w:type="dxa"/>
            <w:vAlign w:val="center"/>
          </w:tcPr>
          <w:p w14:paraId="3013F524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2F8CAF03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00008004005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2364D52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17DE02F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EAC18F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3D07F20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化学专业、应用化学专业、环境科学与工程专业、环境工程专业、环境科学专业、资源环境科学专业、农业资源与环境专业（以上为二级学科）</w:t>
            </w:r>
          </w:p>
          <w:p w14:paraId="4EE7CA92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学专业、环境工程专业、无机化学专业、分析化学专业、有机化学专业、物理化学专业（含：化学物理专业）、高分子化学与物理专业、化学工程专业、应用化学专业、植物学专业、水生生物学专业、野生动植物保护与利用专业（以上为二级学科）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272D3DE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D7F349C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01E86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823248D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BF5A1EA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FDA398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具有2年及以上生态环境保护相关工作经历；主要从事野外、高空采样作业及夜间环境监测工作。</w:t>
            </w:r>
          </w:p>
        </w:tc>
      </w:tr>
      <w:tr w14:paraId="445A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46204C5A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6D072D15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四川省绵阳生态环境监测中心站</w:t>
            </w:r>
          </w:p>
          <w:p w14:paraId="65049333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C6DD4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ABC15B0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3FA7631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95" w:type="dxa"/>
            <w:vAlign w:val="center"/>
          </w:tcPr>
          <w:p w14:paraId="5EF5A04A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66AD3D58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00008005006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FACE4FD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6F8C57C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F5F08BE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D0242AB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生态学专业、环境监测技术专业（以上为二级学科）</w:t>
            </w:r>
          </w:p>
          <w:p w14:paraId="45341D75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生态学专业、环境科学专业、有机化学专业（以上为二级学科）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78455D4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1C2DBD2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F8917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136D8A0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CA145D6">
            <w:pPr>
              <w:overflowPunct w:val="0"/>
              <w:topLinePunct/>
              <w:spacing w:line="31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9B87ED5">
            <w:pPr>
              <w:overflowPunct w:val="0"/>
              <w:topLinePunct/>
              <w:spacing w:line="31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</w:t>
            </w:r>
          </w:p>
        </w:tc>
      </w:tr>
      <w:tr w14:paraId="0B51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1B90534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9EDF32C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四川省遂宁生态环境监测中心站</w:t>
            </w:r>
          </w:p>
          <w:p w14:paraId="2FA1A20B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A3C1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分析测试1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6A79244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595" w:type="dxa"/>
            <w:vAlign w:val="center"/>
          </w:tcPr>
          <w:p w14:paraId="0547D1B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30AE1026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00008006007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EB1A6FA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C724464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BC85FEC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89933B6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化学专业、应用化学专业、环境科学与工程专业、环境工程专业、环境科学专业（以上为二级学科）</w:t>
            </w:r>
          </w:p>
          <w:p w14:paraId="1E9A6D33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化学、化学工程与技术（以上为一级学科）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5942573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043E0A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CA8AA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2A736D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26F83A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BBEEA89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</w:t>
            </w:r>
          </w:p>
        </w:tc>
      </w:tr>
      <w:tr w14:paraId="1C89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7F043541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5A6CA527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四川省遂宁生态环境监测中心站</w:t>
            </w:r>
          </w:p>
          <w:p w14:paraId="32BC222F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99C3D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分析测试2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245785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595" w:type="dxa"/>
            <w:vAlign w:val="center"/>
          </w:tcPr>
          <w:p w14:paraId="6E0848A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0C32B292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00008006008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41512D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3202EC1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7CED96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58C9CDA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生物技术专业、生物科学专业、生态学专业（以上为二级学科）</w:t>
            </w:r>
          </w:p>
          <w:p w14:paraId="1DB58472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土壤学专业、生态学专业（以上为二级学科）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DDC743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46D3C0C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D99FA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218D52A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A11C40F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1D4A8CE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</w:t>
            </w:r>
          </w:p>
        </w:tc>
      </w:tr>
      <w:tr w14:paraId="3657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661" w:type="dxa"/>
            <w:vMerge w:val="continue"/>
            <w:vAlign w:val="center"/>
          </w:tcPr>
          <w:p w14:paraId="1219629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7FE6459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四川省阿坝生态环境监测中心站</w:t>
            </w:r>
          </w:p>
          <w:p w14:paraId="4A2687F0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（公益一类）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63749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环境监测分析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3091B4C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595" w:type="dxa"/>
            <w:vAlign w:val="center"/>
          </w:tcPr>
          <w:p w14:paraId="2B11A8F2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十一级及以下</w:t>
            </w:r>
          </w:p>
        </w:tc>
        <w:tc>
          <w:tcPr>
            <w:tcW w:w="1209" w:type="dxa"/>
            <w:vAlign w:val="center"/>
          </w:tcPr>
          <w:p w14:paraId="66BAAA78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00008007009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504511B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FE148E5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1986年5月22日及以后出生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3BDF870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30B1EEA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化学类、生态学类、生物工程类、环境科学与工程类、自然保护与环境生态类（以上为一级学科）</w:t>
            </w:r>
          </w:p>
          <w:p w14:paraId="365F5ED5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应用化学专业、分析化学专业、环境科学专业、环境工程专业、生态学专业、核能科学与工程专业、辐射防护及环境保护专业、核技术及应用专业、水生生物学专业、土壤学专业（以上为二级学科）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7C87755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6A6D45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9F048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《综合应用能力测试》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91331BD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C211F1E">
            <w:pPr>
              <w:overflowPunct w:val="0"/>
              <w:topLinePunct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3：1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F74EDE0">
            <w:pPr>
              <w:overflowPunct w:val="0"/>
              <w:topLinePunct/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具有2年及以上生态环境保护相关工作经历</w:t>
            </w:r>
          </w:p>
        </w:tc>
      </w:tr>
    </w:tbl>
    <w:p w14:paraId="6D063990">
      <w:pPr>
        <w:overflowPunct w:val="0"/>
        <w:topLinePunct/>
        <w:spacing w:line="600" w:lineRule="exact"/>
        <w:rPr>
          <w:rFonts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注：本表各岗位相关的其他条件及要求请见本公告正文。</w:t>
      </w:r>
    </w:p>
    <w:p w14:paraId="74CC5399">
      <w:pPr>
        <w:tabs>
          <w:tab w:val="left" w:pos="8820"/>
        </w:tabs>
        <w:overflowPunct w:val="0"/>
        <w:topLinePunct/>
        <w:spacing w:line="420" w:lineRule="exact"/>
        <w:rPr>
          <w:rFonts w:ascii="Times New Roman" w:hAnsi="Times New Roman" w:eastAsia="楷体_GB2312" w:cs="方正楷体简体"/>
          <w:sz w:val="28"/>
          <w:szCs w:val="28"/>
          <w:shd w:val="pct10" w:color="auto" w:fill="FFFFFF"/>
          <w:lang w:bidi="ar"/>
        </w:rPr>
      </w:pPr>
    </w:p>
    <w:p w14:paraId="3B3D07CA">
      <w:pPr>
        <w:tabs>
          <w:tab w:val="left" w:pos="8820"/>
        </w:tabs>
        <w:overflowPunct w:val="0"/>
        <w:topLinePunct/>
        <w:spacing w:line="420" w:lineRule="exact"/>
        <w:ind w:firstLine="560" w:firstLineChars="200"/>
        <w:rPr>
          <w:rFonts w:ascii="Times New Roman" w:hAnsi="Times New Roman" w:eastAsia="楷体_GB2312" w:cs="宋体"/>
          <w:sz w:val="28"/>
          <w:szCs w:val="28"/>
          <w:shd w:val="pct10" w:color="auto" w:fill="FFFFFF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5" w:orient="landscape"/>
          <w:pgMar w:top="1588" w:right="2098" w:bottom="1474" w:left="1247" w:header="851" w:footer="992" w:gutter="0"/>
          <w:cols w:space="720" w:num="1"/>
          <w:docGrid w:linePitch="312" w:charSpace="0"/>
        </w:sectPr>
      </w:pPr>
    </w:p>
    <w:p w14:paraId="7367C7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51A6">
    <w:pPr>
      <w:pStyle w:val="2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-386080</wp:posOffset>
              </wp:positionH>
              <wp:positionV relativeFrom="paragraph">
                <wp:posOffset>-1215390</wp:posOffset>
              </wp:positionV>
              <wp:extent cx="2360930" cy="1404620"/>
              <wp:effectExtent l="4445" t="4445" r="15875" b="1968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778752902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5CB3FC09">
                              <w:pPr>
                                <w:pStyle w:val="2"/>
                                <w:ind w:left="210" w:leftChars="100" w:right="210" w:rightChars="10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17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-30.4pt;margin-top:-95.7pt;height:110.6pt;width:185.9pt;z-index:-251656192;mso-width-relative:margin;mso-height-relative:margin;mso-width-percent:400;mso-height-percent:200;" fillcolor="#FFFFFF" filled="t" stroked="t" coordsize="21600,21600" o:gfxdata="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7NzUdwAAAALAQAADwAAAAAAAAABACAAAAAiAAAAZHJzL2Rv&#10;d25yZXYueG1sUEsBAhQAFAAAAAgAh07iQNWvP342AgAAfAQAAA4AAAAAAAAAAQAgAAAAKwEAAGRy&#10;cy9lMm9Eb2MueG1sUEsFBgAAAAAGAAYAWQEAANMFAAAAAA==&#10;">
              <v:fill on="t" focussize="0,0"/>
              <v:stroke color="#FFFFFF [3212]" miterlimit="8" joinstyle="miter"/>
              <v:imagedata o:title=""/>
              <o:lock v:ext="edit" aspectratio="f"/>
              <v:textbox style="layout-flow:vertical;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778752902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 w14:paraId="5CB3FC09">
                        <w:pPr>
                          <w:pStyle w:val="2"/>
                          <w:ind w:left="210" w:leftChars="100" w:right="210" w:rightChars="10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17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726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1F9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5756B">
    <w:pPr>
      <w:pStyle w:val="3"/>
    </w:pPr>
    <w: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-386080</wp:posOffset>
              </wp:positionH>
              <wp:positionV relativeFrom="paragraph">
                <wp:posOffset>498475</wp:posOffset>
              </wp:positionV>
              <wp:extent cx="2360930" cy="1404620"/>
              <wp:effectExtent l="4445" t="4445" r="15875" b="19685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483427242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5845B774">
                              <w:pPr>
                                <w:pStyle w:val="2"/>
                                <w:ind w:left="210" w:leftChars="100" w:right="210" w:rightChars="10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16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30.4pt;margin-top:39.25pt;height:110.6pt;width:185.9pt;z-index:-251657216;mso-width-relative:margin;mso-height-relative:margin;mso-width-percent:400;mso-height-percent:200;" fillcolor="#FFFFFF" filled="t" stroked="t" coordsize="21600,21600" o:gfxdata="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dZpN3bAAAACgEAAA8AAAAAAAAAAQAgAAAAIgAAAGRycy9k&#10;b3ducmV2LnhtbFBLAQIUABQAAAAIAIdO4kBfzP5HOAIAAH4EAAAOAAAAAAAAAAEAIAAAACoBAABk&#10;cnMvZTJvRG9jLnhtbFBLBQYAAAAABgAGAFkBAADUBQAAAAA=&#10;">
              <v:fill on="t" focussize="0,0"/>
              <v:stroke color="#FFFFFF [3212]" miterlimit="8" joinstyle="miter"/>
              <v:imagedata o:title=""/>
              <o:lock v:ext="edit" aspectratio="f"/>
              <v:textbox style="layout-flow:vertical;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483427242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 w14:paraId="5845B774">
                        <w:pPr>
                          <w:pStyle w:val="2"/>
                          <w:ind w:left="210" w:leftChars="100" w:right="210" w:rightChars="10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16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0857513"/>
    <w:rsid w:val="008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2025-05-15T03:40:00Z</dcterms:created>
  <dc:creator>dell</dc:creator>
  <cp:lastModifiedBy>dell</cp:lastModifiedBy>
  <dcterms:modified xsi:type="dcterms:W3CDTF">2025-05-15T03:40:12Z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E22D547C42054216AFD0A653959D6E9F_11</vt:lpwstr>
  </property>
</Properties>
</file>