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ED8ED">
      <w:pPr>
        <w:spacing w:line="560" w:lineRule="exact"/>
        <w:jc w:val="center"/>
        <w:outlineLvl w:val="1"/>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天然气集团</w:t>
      </w:r>
      <w:r>
        <w:rPr>
          <w:rFonts w:hint="eastAsia" w:ascii="方正小标宋简体" w:hAnsi="方正小标宋简体" w:eastAsia="方正小标宋简体" w:cs="方正小标宋简体"/>
          <w:kern w:val="0"/>
          <w:sz w:val="44"/>
          <w:szCs w:val="44"/>
          <w:lang w:val="en-US" w:eastAsia="zh-CN"/>
        </w:rPr>
        <w:t>总部</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lang w:val="en-US" w:eastAsia="zh-CN"/>
        </w:rPr>
        <w:t>含江投气服</w:t>
      </w:r>
      <w:r>
        <w:rPr>
          <w:rFonts w:hint="eastAsia" w:ascii="方正小标宋简体" w:hAnsi="方正小标宋简体" w:eastAsia="方正小标宋简体" w:cs="方正小标宋简体"/>
          <w:kern w:val="0"/>
          <w:sz w:val="44"/>
          <w:szCs w:val="44"/>
        </w:rPr>
        <w:t>党建事务岗</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rPr>
        <w:t>会计核算岗</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rPr>
        <w:t>2025年面向社会公开招聘公告</w:t>
      </w:r>
    </w:p>
    <w:p w14:paraId="5119DEAE">
      <w:pPr>
        <w:spacing w:line="560" w:lineRule="exact"/>
        <w:jc w:val="center"/>
        <w:rPr>
          <w:rFonts w:ascii="微软雅黑" w:hAnsi="微软雅黑" w:eastAsia="微软雅黑" w:cs="微软雅黑"/>
          <w:kern w:val="0"/>
          <w:sz w:val="44"/>
          <w:szCs w:val="44"/>
        </w:rPr>
      </w:pPr>
    </w:p>
    <w:p w14:paraId="2C36A7D1">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江西省天然气集团有限公司于2011年10月成立，是我省省级天然气管网建设、运营、输气和储备保障的唯一主体，2021年入选全国“双百”企业。公司总部坐落于江西省南昌市，拥有分、子企业86家。</w:t>
      </w:r>
    </w:p>
    <w:p w14:paraId="1168EFE2">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业务覆盖省级管网运营，城镇燃气，天然气勘探开发，省级LNG储备调峰，工业园区供气，LNG车船利用，油气技术服务，分布式能源等领域。公司承接了全省“县县通”建设任务，目前江西已率先成为“县县通气”的省份。</w:t>
      </w:r>
    </w:p>
    <w:p w14:paraId="392D9D5A">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践行“保供稳价，服务民生”企业使命，承担着全省天然气能源保供任务，与国家管网、中石化、中石油、中海油、华润燃气等知名企业保持战略合作。公司坚持上中下游产业一体化发展战略，聚焦科技创新、综合能源、数字化等核心领域，积极引领绿色低碳能源发展和清洁能源供应，致力建设成为智慧能源综合服务商。</w:t>
      </w:r>
    </w:p>
    <w:p w14:paraId="0F15E6A8">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江西省江投油气技术服务有限公司成立于2024年9月，注册资本金1亿元，是江西省天然气集团有限公司组建的全资企业。公司致力于打造江西省油气技术领域一站式服务品牌，聚焦管道（场站）工程建设、腐蚀防护、设备安装、检验检测、增值服务及数字化建设等领域，不断促进科技创新与企业发展深度融合。</w:t>
      </w:r>
    </w:p>
    <w:p w14:paraId="4A0D1162">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因工作需要，</w:t>
      </w:r>
      <w:r>
        <w:rPr>
          <w:rFonts w:hint="eastAsia" w:ascii="仿宋_GB2312" w:hAnsi="仿宋_GB2312" w:eastAsia="仿宋_GB2312" w:cs="仿宋_GB2312"/>
          <w:sz w:val="32"/>
          <w:szCs w:val="40"/>
        </w:rPr>
        <w:t>江西省天然气集团有限公司</w:t>
      </w:r>
      <w:r>
        <w:rPr>
          <w:rFonts w:hint="eastAsia" w:ascii="仿宋_GB2312" w:hAnsi="仿宋_GB2312" w:eastAsia="仿宋_GB2312" w:cs="仿宋_GB2312"/>
          <w:sz w:val="32"/>
          <w:szCs w:val="40"/>
          <w:lang w:val="en-US" w:eastAsia="zh-CN"/>
        </w:rPr>
        <w:t>总部</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含江投气服</w:t>
      </w:r>
      <w:r>
        <w:rPr>
          <w:rFonts w:hint="eastAsia" w:ascii="仿宋_GB2312" w:hAnsi="仿宋_GB2312" w:eastAsia="仿宋_GB2312" w:cs="仿宋_GB2312"/>
          <w:sz w:val="32"/>
          <w:szCs w:val="40"/>
        </w:rPr>
        <w:t>党建事务岗</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会计核算岗</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面向社会</w:t>
      </w:r>
      <w:r>
        <w:rPr>
          <w:rFonts w:hint="eastAsia" w:ascii="仿宋_GB2312" w:hAnsi="仿宋_GB2312" w:eastAsia="仿宋_GB2312" w:cs="仿宋_GB2312"/>
          <w:sz w:val="32"/>
          <w:szCs w:val="40"/>
        </w:rPr>
        <w:t>公开招聘工作人员，现就有关事项公告如下：</w:t>
      </w:r>
    </w:p>
    <w:p w14:paraId="5B724BD8">
      <w:pPr>
        <w:numPr>
          <w:ilvl w:val="0"/>
          <w:numId w:val="0"/>
        </w:numPr>
        <w:spacing w:line="560" w:lineRule="exact"/>
        <w:ind w:firstLine="640" w:firstLineChars="200"/>
        <w:rPr>
          <w:rFonts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招聘岗位及人数</w:t>
      </w:r>
    </w:p>
    <w:tbl>
      <w:tblPr>
        <w:tblStyle w:val="4"/>
        <w:tblW w:w="10067" w:type="dxa"/>
        <w:jc w:val="center"/>
        <w:tblLayout w:type="fixed"/>
        <w:tblCellMar>
          <w:top w:w="0" w:type="dxa"/>
          <w:left w:w="28" w:type="dxa"/>
          <w:bottom w:w="0" w:type="dxa"/>
          <w:right w:w="28" w:type="dxa"/>
        </w:tblCellMar>
      </w:tblPr>
      <w:tblGrid>
        <w:gridCol w:w="567"/>
        <w:gridCol w:w="3727"/>
        <w:gridCol w:w="2598"/>
        <w:gridCol w:w="1375"/>
        <w:gridCol w:w="1800"/>
      </w:tblGrid>
      <w:tr w14:paraId="7246E522">
        <w:tblPrEx>
          <w:tblCellMar>
            <w:top w:w="0" w:type="dxa"/>
            <w:left w:w="28" w:type="dxa"/>
            <w:bottom w:w="0" w:type="dxa"/>
            <w:right w:w="28" w:type="dxa"/>
          </w:tblCellMar>
        </w:tblPrEx>
        <w:trPr>
          <w:trHeight w:val="645"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2E4F945F">
            <w:pPr>
              <w:widowControl/>
              <w:spacing w:line="400" w:lineRule="exact"/>
              <w:jc w:val="center"/>
              <w:textAlignment w:val="center"/>
              <w:rPr>
                <w:rFonts w:ascii="宋体" w:hAnsi="宋体" w:cs="宋体"/>
                <w:b/>
                <w:bCs/>
                <w:szCs w:val="21"/>
              </w:rPr>
            </w:pPr>
            <w:r>
              <w:rPr>
                <w:rFonts w:hint="eastAsia" w:ascii="宋体" w:hAnsi="宋体" w:cs="宋体"/>
                <w:b/>
                <w:bCs/>
                <w:szCs w:val="21"/>
              </w:rPr>
              <w:t>序号</w:t>
            </w:r>
          </w:p>
        </w:tc>
        <w:tc>
          <w:tcPr>
            <w:tcW w:w="3727" w:type="dxa"/>
            <w:tcBorders>
              <w:top w:val="single" w:color="000000" w:sz="4" w:space="0"/>
              <w:left w:val="single" w:color="000000" w:sz="4" w:space="0"/>
              <w:right w:val="single" w:color="000000" w:sz="4" w:space="0"/>
            </w:tcBorders>
            <w:shd w:val="clear" w:color="auto" w:fill="auto"/>
            <w:noWrap/>
            <w:vAlign w:val="center"/>
          </w:tcPr>
          <w:p w14:paraId="3C4DB684">
            <w:pPr>
              <w:pStyle w:val="7"/>
              <w:spacing w:line="320" w:lineRule="exact"/>
              <w:jc w:val="center"/>
              <w:rPr>
                <w:rFonts w:ascii="宋体" w:hAnsi="宋体" w:cs="宋体"/>
                <w:b/>
                <w:bCs/>
                <w:sz w:val="21"/>
                <w:szCs w:val="21"/>
              </w:rPr>
            </w:pPr>
            <w:r>
              <w:rPr>
                <w:rFonts w:hint="eastAsia" w:ascii="宋体" w:hAnsi="宋体" w:cs="宋体"/>
                <w:b/>
                <w:bCs/>
                <w:sz w:val="21"/>
                <w:szCs w:val="21"/>
              </w:rPr>
              <w:t>用人部门</w:t>
            </w:r>
          </w:p>
        </w:tc>
        <w:tc>
          <w:tcPr>
            <w:tcW w:w="259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D8B4FF">
            <w:pPr>
              <w:pStyle w:val="7"/>
              <w:spacing w:line="320" w:lineRule="exact"/>
              <w:jc w:val="center"/>
              <w:rPr>
                <w:rFonts w:ascii="宋体" w:hAnsi="宋体" w:cs="宋体"/>
                <w:b/>
                <w:bCs/>
                <w:sz w:val="21"/>
                <w:szCs w:val="21"/>
              </w:rPr>
            </w:pPr>
            <w:r>
              <w:rPr>
                <w:rFonts w:hint="eastAsia" w:ascii="宋体" w:hAnsi="宋体" w:cs="宋体"/>
                <w:b/>
                <w:bCs/>
                <w:sz w:val="21"/>
                <w:szCs w:val="21"/>
              </w:rPr>
              <w:t>招聘岗位</w:t>
            </w:r>
          </w:p>
        </w:tc>
        <w:tc>
          <w:tcPr>
            <w:tcW w:w="13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619B9">
            <w:pPr>
              <w:spacing w:line="320" w:lineRule="exact"/>
              <w:jc w:val="center"/>
              <w:rPr>
                <w:rFonts w:ascii="宋体" w:hAnsi="宋体" w:cs="宋体"/>
                <w:b/>
                <w:bCs/>
                <w:szCs w:val="21"/>
              </w:rPr>
            </w:pPr>
            <w:r>
              <w:rPr>
                <w:rFonts w:hint="eastAsia" w:ascii="宋体" w:hAnsi="宋体" w:cs="宋体"/>
                <w:b/>
                <w:bCs/>
                <w:szCs w:val="21"/>
              </w:rPr>
              <w:t>招聘人数</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2142C">
            <w:pPr>
              <w:widowControl/>
              <w:spacing w:line="320" w:lineRule="exact"/>
              <w:jc w:val="center"/>
              <w:textAlignment w:val="center"/>
              <w:rPr>
                <w:rFonts w:ascii="宋体" w:hAnsi="宋体" w:cs="宋体"/>
                <w:b/>
                <w:bCs/>
                <w:szCs w:val="21"/>
              </w:rPr>
            </w:pPr>
            <w:r>
              <w:rPr>
                <w:rFonts w:hint="eastAsia" w:ascii="宋体" w:hAnsi="宋体" w:cs="宋体"/>
                <w:b/>
                <w:bCs/>
                <w:szCs w:val="21"/>
              </w:rPr>
              <w:t>备注</w:t>
            </w:r>
          </w:p>
        </w:tc>
      </w:tr>
      <w:tr w14:paraId="5515542F">
        <w:tblPrEx>
          <w:tblCellMar>
            <w:top w:w="0" w:type="dxa"/>
            <w:left w:w="28" w:type="dxa"/>
            <w:bottom w:w="0" w:type="dxa"/>
            <w:right w:w="28" w:type="dxa"/>
          </w:tblCellMar>
        </w:tblPrEx>
        <w:trPr>
          <w:trHeight w:val="570"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18676FCD">
            <w:pPr>
              <w:widowControl/>
              <w:spacing w:line="400" w:lineRule="exact"/>
              <w:jc w:val="center"/>
              <w:textAlignment w:val="center"/>
              <w:rPr>
                <w:rFonts w:ascii="宋体" w:hAnsi="宋体" w:cs="宋体"/>
                <w:szCs w:val="21"/>
              </w:rPr>
            </w:pPr>
            <w:r>
              <w:rPr>
                <w:rFonts w:hint="eastAsia" w:ascii="宋体" w:hAnsi="宋体" w:cs="宋体"/>
                <w:szCs w:val="21"/>
              </w:rPr>
              <w:t>1</w:t>
            </w:r>
          </w:p>
        </w:tc>
        <w:tc>
          <w:tcPr>
            <w:tcW w:w="3727" w:type="dxa"/>
            <w:tcBorders>
              <w:top w:val="single" w:color="000000" w:sz="4" w:space="0"/>
              <w:left w:val="single" w:color="000000" w:sz="4" w:space="0"/>
              <w:right w:val="single" w:color="000000" w:sz="4" w:space="0"/>
            </w:tcBorders>
            <w:shd w:val="clear" w:color="auto" w:fill="auto"/>
            <w:noWrap/>
            <w:vAlign w:val="center"/>
          </w:tcPr>
          <w:p w14:paraId="1587A62C">
            <w:pPr>
              <w:pStyle w:val="7"/>
              <w:spacing w:line="320" w:lineRule="exact"/>
              <w:jc w:val="center"/>
              <w:rPr>
                <w:rFonts w:ascii="宋体" w:hAnsi="宋体" w:cs="宋体"/>
                <w:sz w:val="21"/>
                <w:szCs w:val="21"/>
              </w:rPr>
            </w:pPr>
            <w:r>
              <w:rPr>
                <w:rFonts w:hint="eastAsia" w:ascii="宋体" w:hAnsi="宋体" w:cs="宋体"/>
                <w:sz w:val="21"/>
                <w:szCs w:val="21"/>
              </w:rPr>
              <w:t>党群工作部</w:t>
            </w:r>
          </w:p>
        </w:tc>
        <w:tc>
          <w:tcPr>
            <w:tcW w:w="259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FDC3B1">
            <w:pPr>
              <w:pStyle w:val="7"/>
              <w:spacing w:line="320" w:lineRule="exact"/>
              <w:jc w:val="center"/>
              <w:rPr>
                <w:rFonts w:ascii="宋体" w:hAnsi="宋体" w:cs="宋体"/>
                <w:sz w:val="21"/>
                <w:szCs w:val="21"/>
              </w:rPr>
            </w:pPr>
            <w:r>
              <w:rPr>
                <w:rFonts w:hint="eastAsia" w:ascii="宋体" w:hAnsi="宋体" w:cs="宋体"/>
                <w:sz w:val="21"/>
                <w:szCs w:val="21"/>
              </w:rPr>
              <w:t>思想宣传岗</w:t>
            </w:r>
          </w:p>
        </w:tc>
        <w:tc>
          <w:tcPr>
            <w:tcW w:w="13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C8A71">
            <w:pPr>
              <w:spacing w:line="320" w:lineRule="exact"/>
              <w:jc w:val="center"/>
              <w:rPr>
                <w:rFonts w:ascii="宋体" w:hAnsi="宋体" w:cs="宋体"/>
                <w:szCs w:val="21"/>
              </w:rPr>
            </w:pPr>
            <w:r>
              <w:rPr>
                <w:rFonts w:hint="eastAsia" w:ascii="宋体" w:hAnsi="宋体" w:cs="宋体"/>
                <w:szCs w:val="21"/>
              </w:rPr>
              <w:t>1</w:t>
            </w:r>
          </w:p>
        </w:tc>
        <w:tc>
          <w:tcPr>
            <w:tcW w:w="1800" w:type="dxa"/>
            <w:vMerge w:val="restart"/>
            <w:tcBorders>
              <w:top w:val="single" w:color="auto" w:sz="4" w:space="0"/>
              <w:left w:val="single" w:color="auto" w:sz="4" w:space="0"/>
              <w:right w:val="single" w:color="auto" w:sz="4" w:space="0"/>
            </w:tcBorders>
            <w:shd w:val="clear" w:color="auto" w:fill="auto"/>
            <w:noWrap/>
            <w:vAlign w:val="center"/>
          </w:tcPr>
          <w:p w14:paraId="0861AA60">
            <w:pPr>
              <w:pStyle w:val="7"/>
              <w:spacing w:line="320" w:lineRule="exact"/>
              <w:jc w:val="center"/>
              <w:rPr>
                <w:rFonts w:hint="eastAsia" w:ascii="宋体" w:hAnsi="宋体" w:eastAsia="宋体" w:cs="宋体"/>
                <w:szCs w:val="21"/>
                <w:lang w:val="en-US" w:eastAsia="zh-CN"/>
              </w:rPr>
            </w:pPr>
            <w:r>
              <w:rPr>
                <w:rFonts w:hint="eastAsia" w:ascii="宋体" w:hAnsi="宋体" w:cs="宋体"/>
                <w:szCs w:val="21"/>
              </w:rPr>
              <w:t>天然气集团</w:t>
            </w:r>
            <w:r>
              <w:rPr>
                <w:rFonts w:hint="eastAsia" w:ascii="宋体" w:hAnsi="宋体" w:cs="宋体"/>
                <w:szCs w:val="21"/>
                <w:lang w:val="en-US" w:eastAsia="zh-CN"/>
              </w:rPr>
              <w:t>总部</w:t>
            </w:r>
          </w:p>
        </w:tc>
      </w:tr>
      <w:tr w14:paraId="564D012A">
        <w:tblPrEx>
          <w:tblCellMar>
            <w:top w:w="0" w:type="dxa"/>
            <w:left w:w="28" w:type="dxa"/>
            <w:bottom w:w="0" w:type="dxa"/>
            <w:right w:w="28" w:type="dxa"/>
          </w:tblCellMar>
        </w:tblPrEx>
        <w:trPr>
          <w:trHeight w:val="493"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0FD6CA02">
            <w:pPr>
              <w:widowControl/>
              <w:spacing w:line="400" w:lineRule="exact"/>
              <w:jc w:val="center"/>
              <w:textAlignment w:val="center"/>
              <w:rPr>
                <w:rFonts w:ascii="宋体" w:hAnsi="宋体" w:cs="宋体"/>
                <w:szCs w:val="21"/>
              </w:rPr>
            </w:pPr>
            <w:r>
              <w:rPr>
                <w:rFonts w:hint="eastAsia" w:ascii="宋体" w:hAnsi="宋体" w:cs="宋体"/>
                <w:szCs w:val="21"/>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860D">
            <w:pPr>
              <w:pStyle w:val="7"/>
              <w:spacing w:line="320" w:lineRule="exact"/>
              <w:jc w:val="center"/>
              <w:rPr>
                <w:rFonts w:ascii="宋体" w:hAnsi="宋体" w:cs="宋体"/>
                <w:sz w:val="21"/>
                <w:szCs w:val="21"/>
              </w:rPr>
            </w:pPr>
            <w:r>
              <w:rPr>
                <w:rFonts w:hint="eastAsia" w:ascii="宋体" w:hAnsi="宋体" w:cs="宋体"/>
                <w:sz w:val="21"/>
                <w:szCs w:val="21"/>
              </w:rPr>
              <w:t>综合管理部</w:t>
            </w:r>
          </w:p>
        </w:tc>
        <w:tc>
          <w:tcPr>
            <w:tcW w:w="259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26274F3">
            <w:pPr>
              <w:pStyle w:val="7"/>
              <w:spacing w:line="320" w:lineRule="exact"/>
              <w:jc w:val="center"/>
              <w:rPr>
                <w:rFonts w:ascii="宋体" w:hAnsi="宋体" w:cs="宋体"/>
                <w:sz w:val="21"/>
                <w:szCs w:val="21"/>
              </w:rPr>
            </w:pPr>
            <w:r>
              <w:rPr>
                <w:rFonts w:hint="eastAsia" w:ascii="宋体" w:hAnsi="宋体" w:cs="宋体"/>
                <w:sz w:val="21"/>
                <w:szCs w:val="21"/>
              </w:rPr>
              <w:t>文秘岗</w:t>
            </w:r>
          </w:p>
        </w:tc>
        <w:tc>
          <w:tcPr>
            <w:tcW w:w="13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EFBC1">
            <w:pPr>
              <w:spacing w:line="320" w:lineRule="exact"/>
              <w:jc w:val="center"/>
              <w:rPr>
                <w:rFonts w:ascii="宋体" w:hAnsi="宋体" w:cs="宋体"/>
                <w:szCs w:val="21"/>
              </w:rPr>
            </w:pPr>
            <w:r>
              <w:rPr>
                <w:rFonts w:hint="eastAsia" w:ascii="宋体" w:hAnsi="宋体" w:cs="宋体"/>
                <w:szCs w:val="21"/>
              </w:rPr>
              <w:t>1</w:t>
            </w:r>
          </w:p>
        </w:tc>
        <w:tc>
          <w:tcPr>
            <w:tcW w:w="1800" w:type="dxa"/>
            <w:vMerge w:val="continue"/>
            <w:tcBorders>
              <w:left w:val="single" w:color="auto" w:sz="4" w:space="0"/>
              <w:right w:val="single" w:color="auto" w:sz="4" w:space="0"/>
            </w:tcBorders>
            <w:shd w:val="clear" w:color="auto" w:fill="auto"/>
            <w:noWrap/>
            <w:vAlign w:val="center"/>
          </w:tcPr>
          <w:p w14:paraId="2DD1F4F7">
            <w:pPr>
              <w:spacing w:line="320" w:lineRule="exact"/>
              <w:jc w:val="center"/>
              <w:rPr>
                <w:rFonts w:ascii="宋体" w:hAnsi="宋体" w:cs="宋体"/>
                <w:szCs w:val="21"/>
              </w:rPr>
            </w:pPr>
          </w:p>
        </w:tc>
      </w:tr>
      <w:tr w14:paraId="2BDF2937">
        <w:tblPrEx>
          <w:tblCellMar>
            <w:top w:w="0" w:type="dxa"/>
            <w:left w:w="28" w:type="dxa"/>
            <w:bottom w:w="0" w:type="dxa"/>
            <w:right w:w="28" w:type="dxa"/>
          </w:tblCellMar>
        </w:tblPrEx>
        <w:trPr>
          <w:trHeight w:val="493"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54551292">
            <w:pPr>
              <w:widowControl/>
              <w:spacing w:line="400" w:lineRule="exact"/>
              <w:jc w:val="center"/>
              <w:textAlignment w:val="center"/>
              <w:rPr>
                <w:rFonts w:ascii="宋体" w:hAnsi="宋体" w:cs="宋体"/>
                <w:szCs w:val="21"/>
              </w:rPr>
            </w:pPr>
            <w:r>
              <w:rPr>
                <w:rFonts w:hint="eastAsia" w:ascii="宋体" w:hAnsi="宋体" w:cs="宋体"/>
                <w:szCs w:val="21"/>
              </w:rPr>
              <w:t>3</w:t>
            </w:r>
          </w:p>
        </w:tc>
        <w:tc>
          <w:tcPr>
            <w:tcW w:w="3727" w:type="dxa"/>
            <w:vMerge w:val="restart"/>
            <w:tcBorders>
              <w:top w:val="single" w:color="000000" w:sz="4" w:space="0"/>
              <w:left w:val="single" w:color="000000" w:sz="4" w:space="0"/>
              <w:right w:val="single" w:color="000000" w:sz="4" w:space="0"/>
            </w:tcBorders>
            <w:noWrap/>
            <w:vAlign w:val="center"/>
          </w:tcPr>
          <w:p w14:paraId="27940E04">
            <w:pPr>
              <w:pStyle w:val="7"/>
              <w:spacing w:line="320" w:lineRule="exact"/>
              <w:jc w:val="center"/>
              <w:rPr>
                <w:rFonts w:ascii="宋体" w:hAnsi="宋体" w:cs="宋体"/>
                <w:sz w:val="21"/>
                <w:szCs w:val="21"/>
              </w:rPr>
            </w:pPr>
            <w:r>
              <w:rPr>
                <w:rFonts w:hint="eastAsia" w:ascii="宋体" w:hAnsi="宋体" w:cs="宋体"/>
                <w:sz w:val="21"/>
                <w:szCs w:val="21"/>
              </w:rPr>
              <w:t>企业管理部（审计中心）</w:t>
            </w:r>
          </w:p>
        </w:tc>
        <w:tc>
          <w:tcPr>
            <w:tcW w:w="2598" w:type="dxa"/>
            <w:tcBorders>
              <w:top w:val="single" w:color="000000" w:sz="4" w:space="0"/>
              <w:left w:val="single" w:color="000000" w:sz="4" w:space="0"/>
              <w:bottom w:val="single" w:color="000000" w:sz="4" w:space="0"/>
              <w:right w:val="single" w:color="auto" w:sz="4" w:space="0"/>
            </w:tcBorders>
            <w:noWrap/>
            <w:vAlign w:val="center"/>
          </w:tcPr>
          <w:p w14:paraId="16D86C17">
            <w:pPr>
              <w:pStyle w:val="7"/>
              <w:spacing w:line="320" w:lineRule="exact"/>
              <w:jc w:val="center"/>
              <w:rPr>
                <w:rFonts w:ascii="宋体" w:hAnsi="宋体" w:cs="宋体"/>
                <w:sz w:val="21"/>
                <w:szCs w:val="21"/>
              </w:rPr>
            </w:pPr>
            <w:r>
              <w:rPr>
                <w:rFonts w:hint="eastAsia" w:ascii="宋体" w:hAnsi="宋体" w:cs="宋体"/>
                <w:sz w:val="21"/>
                <w:szCs w:val="21"/>
              </w:rPr>
              <w:t>战略管理岗</w:t>
            </w:r>
          </w:p>
        </w:tc>
        <w:tc>
          <w:tcPr>
            <w:tcW w:w="1375" w:type="dxa"/>
            <w:tcBorders>
              <w:top w:val="single" w:color="auto" w:sz="4" w:space="0"/>
              <w:left w:val="single" w:color="auto" w:sz="4" w:space="0"/>
              <w:bottom w:val="single" w:color="auto" w:sz="4" w:space="0"/>
              <w:right w:val="single" w:color="auto" w:sz="4" w:space="0"/>
            </w:tcBorders>
            <w:noWrap/>
            <w:vAlign w:val="center"/>
          </w:tcPr>
          <w:p w14:paraId="1F51DC99">
            <w:pPr>
              <w:spacing w:line="320" w:lineRule="exact"/>
              <w:jc w:val="center"/>
              <w:rPr>
                <w:rFonts w:ascii="宋体" w:hAnsi="宋体" w:cs="宋体"/>
                <w:szCs w:val="21"/>
              </w:rPr>
            </w:pPr>
            <w:r>
              <w:rPr>
                <w:rFonts w:hint="eastAsia" w:ascii="宋体" w:hAnsi="宋体" w:cs="宋体"/>
                <w:szCs w:val="21"/>
              </w:rPr>
              <w:t>1</w:t>
            </w:r>
          </w:p>
        </w:tc>
        <w:tc>
          <w:tcPr>
            <w:tcW w:w="1800" w:type="dxa"/>
            <w:vMerge w:val="continue"/>
            <w:tcBorders>
              <w:left w:val="single" w:color="auto" w:sz="4" w:space="0"/>
              <w:right w:val="single" w:color="auto" w:sz="4" w:space="0"/>
            </w:tcBorders>
            <w:noWrap/>
            <w:vAlign w:val="center"/>
          </w:tcPr>
          <w:p w14:paraId="02D1F096">
            <w:pPr>
              <w:spacing w:line="320" w:lineRule="exact"/>
              <w:jc w:val="center"/>
              <w:rPr>
                <w:rFonts w:ascii="宋体" w:hAnsi="宋体" w:cs="宋体"/>
                <w:szCs w:val="21"/>
              </w:rPr>
            </w:pPr>
          </w:p>
        </w:tc>
      </w:tr>
      <w:tr w14:paraId="0B80EB47">
        <w:tblPrEx>
          <w:tblCellMar>
            <w:top w:w="0" w:type="dxa"/>
            <w:left w:w="28" w:type="dxa"/>
            <w:bottom w:w="0" w:type="dxa"/>
            <w:right w:w="28" w:type="dxa"/>
          </w:tblCellMar>
        </w:tblPrEx>
        <w:trPr>
          <w:trHeight w:val="493"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5375FCC6">
            <w:pPr>
              <w:widowControl/>
              <w:spacing w:line="400" w:lineRule="exact"/>
              <w:jc w:val="center"/>
              <w:textAlignment w:val="center"/>
              <w:rPr>
                <w:rFonts w:ascii="宋体" w:hAnsi="宋体" w:cs="宋体"/>
                <w:szCs w:val="21"/>
              </w:rPr>
            </w:pPr>
            <w:r>
              <w:rPr>
                <w:rFonts w:hint="eastAsia" w:ascii="宋体" w:hAnsi="宋体" w:cs="宋体"/>
                <w:szCs w:val="21"/>
              </w:rPr>
              <w:t>4</w:t>
            </w:r>
          </w:p>
        </w:tc>
        <w:tc>
          <w:tcPr>
            <w:tcW w:w="3727" w:type="dxa"/>
            <w:vMerge w:val="continue"/>
            <w:tcBorders>
              <w:left w:val="single" w:color="000000" w:sz="4" w:space="0"/>
              <w:bottom w:val="single" w:color="000000" w:sz="4" w:space="0"/>
              <w:right w:val="single" w:color="000000" w:sz="4" w:space="0"/>
            </w:tcBorders>
            <w:noWrap/>
            <w:vAlign w:val="center"/>
          </w:tcPr>
          <w:p w14:paraId="33061C24">
            <w:pPr>
              <w:pStyle w:val="7"/>
              <w:spacing w:line="320" w:lineRule="exact"/>
              <w:jc w:val="center"/>
              <w:rPr>
                <w:rFonts w:ascii="宋体" w:hAnsi="宋体" w:cs="宋体"/>
                <w:sz w:val="21"/>
                <w:szCs w:val="21"/>
              </w:rPr>
            </w:pPr>
          </w:p>
        </w:tc>
        <w:tc>
          <w:tcPr>
            <w:tcW w:w="2598" w:type="dxa"/>
            <w:tcBorders>
              <w:top w:val="single" w:color="000000" w:sz="4" w:space="0"/>
              <w:left w:val="single" w:color="000000" w:sz="4" w:space="0"/>
              <w:bottom w:val="single" w:color="000000" w:sz="4" w:space="0"/>
              <w:right w:val="single" w:color="auto" w:sz="4" w:space="0"/>
            </w:tcBorders>
            <w:noWrap/>
            <w:vAlign w:val="center"/>
          </w:tcPr>
          <w:p w14:paraId="346EFB71">
            <w:pPr>
              <w:pStyle w:val="7"/>
              <w:spacing w:line="320" w:lineRule="exact"/>
              <w:jc w:val="center"/>
              <w:rPr>
                <w:rFonts w:ascii="宋体" w:hAnsi="宋体" w:cs="宋体"/>
                <w:sz w:val="21"/>
                <w:szCs w:val="21"/>
              </w:rPr>
            </w:pPr>
            <w:r>
              <w:rPr>
                <w:rFonts w:hint="eastAsia" w:ascii="宋体" w:hAnsi="宋体" w:cs="宋体"/>
                <w:sz w:val="21"/>
                <w:szCs w:val="21"/>
              </w:rPr>
              <w:t>审计岗</w:t>
            </w:r>
          </w:p>
        </w:tc>
        <w:tc>
          <w:tcPr>
            <w:tcW w:w="1375" w:type="dxa"/>
            <w:tcBorders>
              <w:top w:val="single" w:color="auto" w:sz="4" w:space="0"/>
              <w:left w:val="single" w:color="auto" w:sz="4" w:space="0"/>
              <w:bottom w:val="single" w:color="auto" w:sz="4" w:space="0"/>
              <w:right w:val="single" w:color="auto" w:sz="4" w:space="0"/>
            </w:tcBorders>
            <w:noWrap/>
            <w:vAlign w:val="center"/>
          </w:tcPr>
          <w:p w14:paraId="592D7155">
            <w:pPr>
              <w:spacing w:line="320" w:lineRule="exact"/>
              <w:jc w:val="center"/>
              <w:rPr>
                <w:rFonts w:ascii="宋体" w:hAnsi="宋体" w:cs="宋体"/>
                <w:szCs w:val="21"/>
              </w:rPr>
            </w:pPr>
            <w:r>
              <w:rPr>
                <w:rFonts w:hint="eastAsia" w:ascii="宋体" w:hAnsi="宋体" w:cs="宋体"/>
                <w:szCs w:val="21"/>
              </w:rPr>
              <w:t>1</w:t>
            </w:r>
          </w:p>
        </w:tc>
        <w:tc>
          <w:tcPr>
            <w:tcW w:w="1800" w:type="dxa"/>
            <w:vMerge w:val="continue"/>
            <w:tcBorders>
              <w:left w:val="single" w:color="auto" w:sz="4" w:space="0"/>
              <w:right w:val="single" w:color="auto" w:sz="4" w:space="0"/>
            </w:tcBorders>
            <w:noWrap/>
            <w:vAlign w:val="center"/>
          </w:tcPr>
          <w:p w14:paraId="3561DD2B">
            <w:pPr>
              <w:spacing w:line="320" w:lineRule="exact"/>
              <w:jc w:val="center"/>
              <w:rPr>
                <w:rFonts w:ascii="宋体" w:hAnsi="宋体" w:cs="宋体"/>
                <w:szCs w:val="21"/>
              </w:rPr>
            </w:pPr>
          </w:p>
        </w:tc>
      </w:tr>
      <w:tr w14:paraId="14A82C49">
        <w:tblPrEx>
          <w:tblCellMar>
            <w:top w:w="0" w:type="dxa"/>
            <w:left w:w="28" w:type="dxa"/>
            <w:bottom w:w="0" w:type="dxa"/>
            <w:right w:w="28" w:type="dxa"/>
          </w:tblCellMar>
        </w:tblPrEx>
        <w:trPr>
          <w:trHeight w:val="493"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28A3DD0C">
            <w:pPr>
              <w:widowControl/>
              <w:spacing w:line="400" w:lineRule="exact"/>
              <w:jc w:val="center"/>
              <w:textAlignment w:val="center"/>
              <w:rPr>
                <w:rFonts w:ascii="宋体" w:hAnsi="宋体" w:cs="宋体"/>
                <w:szCs w:val="21"/>
              </w:rPr>
            </w:pPr>
            <w:r>
              <w:rPr>
                <w:rFonts w:hint="eastAsia" w:ascii="宋体" w:hAnsi="宋体" w:cs="宋体"/>
                <w:szCs w:val="21"/>
              </w:rPr>
              <w:t>5</w:t>
            </w:r>
          </w:p>
        </w:tc>
        <w:tc>
          <w:tcPr>
            <w:tcW w:w="3727" w:type="dxa"/>
            <w:tcBorders>
              <w:left w:val="single" w:color="000000" w:sz="4" w:space="0"/>
              <w:right w:val="single" w:color="000000" w:sz="4" w:space="0"/>
            </w:tcBorders>
            <w:noWrap/>
            <w:vAlign w:val="center"/>
          </w:tcPr>
          <w:p w14:paraId="277932E9">
            <w:pPr>
              <w:pStyle w:val="7"/>
              <w:spacing w:line="320" w:lineRule="exact"/>
              <w:jc w:val="center"/>
              <w:rPr>
                <w:rFonts w:ascii="宋体" w:hAnsi="宋体" w:cs="宋体"/>
                <w:sz w:val="21"/>
                <w:szCs w:val="21"/>
              </w:rPr>
            </w:pPr>
            <w:r>
              <w:rPr>
                <w:rFonts w:hint="eastAsia" w:ascii="宋体" w:hAnsi="宋体" w:cs="宋体"/>
                <w:sz w:val="21"/>
                <w:szCs w:val="21"/>
              </w:rPr>
              <w:t>投资管理部</w:t>
            </w:r>
          </w:p>
        </w:tc>
        <w:tc>
          <w:tcPr>
            <w:tcW w:w="2598" w:type="dxa"/>
            <w:tcBorders>
              <w:top w:val="single" w:color="000000" w:sz="4" w:space="0"/>
              <w:left w:val="single" w:color="000000" w:sz="4" w:space="0"/>
              <w:bottom w:val="single" w:color="000000" w:sz="4" w:space="0"/>
              <w:right w:val="single" w:color="auto" w:sz="4" w:space="0"/>
            </w:tcBorders>
            <w:noWrap/>
            <w:vAlign w:val="center"/>
          </w:tcPr>
          <w:p w14:paraId="0E5B0DA2">
            <w:pPr>
              <w:pStyle w:val="7"/>
              <w:spacing w:line="320" w:lineRule="exact"/>
              <w:jc w:val="center"/>
              <w:rPr>
                <w:rFonts w:ascii="宋体" w:hAnsi="宋体" w:cs="宋体"/>
                <w:sz w:val="21"/>
                <w:szCs w:val="21"/>
              </w:rPr>
            </w:pPr>
            <w:r>
              <w:rPr>
                <w:rFonts w:hint="eastAsia" w:ascii="宋体" w:hAnsi="宋体" w:cs="宋体"/>
                <w:sz w:val="21"/>
                <w:szCs w:val="21"/>
              </w:rPr>
              <w:t>投资管理岗</w:t>
            </w:r>
          </w:p>
        </w:tc>
        <w:tc>
          <w:tcPr>
            <w:tcW w:w="1375" w:type="dxa"/>
            <w:tcBorders>
              <w:top w:val="single" w:color="auto" w:sz="4" w:space="0"/>
              <w:left w:val="single" w:color="auto" w:sz="4" w:space="0"/>
              <w:bottom w:val="single" w:color="auto" w:sz="4" w:space="0"/>
              <w:right w:val="single" w:color="auto" w:sz="4" w:space="0"/>
            </w:tcBorders>
            <w:noWrap/>
            <w:vAlign w:val="center"/>
          </w:tcPr>
          <w:p w14:paraId="4EE17B58">
            <w:pPr>
              <w:pStyle w:val="7"/>
              <w:spacing w:line="320" w:lineRule="exact"/>
              <w:jc w:val="center"/>
              <w:rPr>
                <w:rFonts w:ascii="宋体" w:hAnsi="宋体" w:cs="宋体"/>
                <w:sz w:val="21"/>
                <w:szCs w:val="21"/>
              </w:rPr>
            </w:pPr>
            <w:r>
              <w:rPr>
                <w:rFonts w:hint="eastAsia" w:ascii="宋体" w:hAnsi="宋体" w:cs="宋体"/>
                <w:sz w:val="21"/>
                <w:szCs w:val="21"/>
              </w:rPr>
              <w:t>1</w:t>
            </w:r>
          </w:p>
        </w:tc>
        <w:tc>
          <w:tcPr>
            <w:tcW w:w="1800" w:type="dxa"/>
            <w:vMerge w:val="continue"/>
            <w:tcBorders>
              <w:left w:val="single" w:color="auto" w:sz="4" w:space="0"/>
              <w:right w:val="single" w:color="auto" w:sz="4" w:space="0"/>
            </w:tcBorders>
            <w:shd w:val="clear" w:color="auto" w:fill="auto"/>
            <w:noWrap/>
            <w:vAlign w:val="center"/>
          </w:tcPr>
          <w:p w14:paraId="70D8A5E9">
            <w:pPr>
              <w:spacing w:line="320" w:lineRule="exact"/>
              <w:jc w:val="center"/>
              <w:rPr>
                <w:rFonts w:ascii="宋体" w:hAnsi="宋体" w:cs="宋体"/>
                <w:szCs w:val="21"/>
              </w:rPr>
            </w:pPr>
          </w:p>
        </w:tc>
      </w:tr>
      <w:tr w14:paraId="6914F4E1">
        <w:tblPrEx>
          <w:tblCellMar>
            <w:top w:w="0" w:type="dxa"/>
            <w:left w:w="28" w:type="dxa"/>
            <w:bottom w:w="0" w:type="dxa"/>
            <w:right w:w="28" w:type="dxa"/>
          </w:tblCellMar>
        </w:tblPrEx>
        <w:trPr>
          <w:trHeight w:val="493"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28437299">
            <w:pPr>
              <w:widowControl/>
              <w:spacing w:line="400" w:lineRule="exact"/>
              <w:jc w:val="center"/>
              <w:textAlignment w:val="center"/>
              <w:rPr>
                <w:rFonts w:ascii="宋体" w:hAnsi="宋体" w:cs="宋体"/>
                <w:szCs w:val="21"/>
              </w:rPr>
            </w:pPr>
            <w:r>
              <w:rPr>
                <w:rFonts w:hint="eastAsia" w:ascii="宋体" w:hAnsi="宋体" w:cs="宋体"/>
                <w:szCs w:val="21"/>
              </w:rPr>
              <w:t>6</w:t>
            </w:r>
          </w:p>
        </w:tc>
        <w:tc>
          <w:tcPr>
            <w:tcW w:w="3727" w:type="dxa"/>
            <w:vMerge w:val="restart"/>
            <w:tcBorders>
              <w:top w:val="single" w:color="000000" w:sz="4" w:space="0"/>
              <w:left w:val="single" w:color="000000" w:sz="4" w:space="0"/>
              <w:right w:val="single" w:color="000000" w:sz="4" w:space="0"/>
            </w:tcBorders>
            <w:shd w:val="clear" w:color="auto" w:fill="auto"/>
            <w:noWrap/>
            <w:vAlign w:val="center"/>
          </w:tcPr>
          <w:p w14:paraId="59379A45">
            <w:pPr>
              <w:pStyle w:val="7"/>
              <w:spacing w:line="320" w:lineRule="exact"/>
              <w:jc w:val="center"/>
              <w:rPr>
                <w:rFonts w:ascii="宋体" w:hAnsi="宋体" w:cs="宋体"/>
                <w:sz w:val="21"/>
                <w:szCs w:val="21"/>
              </w:rPr>
            </w:pPr>
            <w:r>
              <w:rPr>
                <w:rFonts w:hint="eastAsia" w:ascii="宋体" w:hAnsi="宋体" w:cs="宋体"/>
                <w:sz w:val="21"/>
                <w:szCs w:val="21"/>
              </w:rPr>
              <w:t>计划财务部（财务共享服务中心）</w:t>
            </w:r>
          </w:p>
        </w:tc>
        <w:tc>
          <w:tcPr>
            <w:tcW w:w="259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3D1B235">
            <w:pPr>
              <w:pStyle w:val="7"/>
              <w:spacing w:line="320" w:lineRule="exact"/>
              <w:jc w:val="center"/>
              <w:rPr>
                <w:rFonts w:ascii="宋体" w:hAnsi="宋体" w:cs="宋体"/>
                <w:sz w:val="21"/>
                <w:szCs w:val="21"/>
              </w:rPr>
            </w:pPr>
            <w:r>
              <w:rPr>
                <w:rFonts w:hint="eastAsia" w:ascii="宋体" w:hAnsi="宋体" w:cs="宋体"/>
                <w:sz w:val="21"/>
                <w:szCs w:val="21"/>
              </w:rPr>
              <w:t>总账核算及报表共享岗</w:t>
            </w:r>
          </w:p>
        </w:tc>
        <w:tc>
          <w:tcPr>
            <w:tcW w:w="13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7381B">
            <w:pPr>
              <w:spacing w:line="320" w:lineRule="exact"/>
              <w:jc w:val="center"/>
              <w:rPr>
                <w:rFonts w:ascii="宋体" w:hAnsi="宋体" w:cs="宋体"/>
                <w:szCs w:val="21"/>
              </w:rPr>
            </w:pPr>
            <w:r>
              <w:rPr>
                <w:rFonts w:hint="eastAsia" w:ascii="宋体" w:hAnsi="宋体" w:cs="宋体"/>
                <w:szCs w:val="21"/>
              </w:rPr>
              <w:t>1</w:t>
            </w:r>
          </w:p>
        </w:tc>
        <w:tc>
          <w:tcPr>
            <w:tcW w:w="1800" w:type="dxa"/>
            <w:vMerge w:val="continue"/>
            <w:tcBorders>
              <w:left w:val="single" w:color="auto" w:sz="4" w:space="0"/>
              <w:right w:val="single" w:color="auto" w:sz="4" w:space="0"/>
            </w:tcBorders>
            <w:shd w:val="clear" w:color="auto" w:fill="auto"/>
            <w:noWrap/>
            <w:vAlign w:val="center"/>
          </w:tcPr>
          <w:p w14:paraId="284A71F6">
            <w:pPr>
              <w:spacing w:line="320" w:lineRule="exact"/>
              <w:jc w:val="center"/>
              <w:rPr>
                <w:rFonts w:ascii="宋体" w:hAnsi="宋体" w:cs="宋体"/>
                <w:sz w:val="24"/>
                <w:szCs w:val="21"/>
              </w:rPr>
            </w:pPr>
          </w:p>
        </w:tc>
      </w:tr>
      <w:tr w14:paraId="1371B03C">
        <w:tblPrEx>
          <w:tblCellMar>
            <w:top w:w="0" w:type="dxa"/>
            <w:left w:w="28" w:type="dxa"/>
            <w:bottom w:w="0" w:type="dxa"/>
            <w:right w:w="28" w:type="dxa"/>
          </w:tblCellMar>
        </w:tblPrEx>
        <w:trPr>
          <w:trHeight w:val="493"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5EE8B4C4">
            <w:pPr>
              <w:widowControl/>
              <w:spacing w:line="400" w:lineRule="exact"/>
              <w:jc w:val="center"/>
              <w:textAlignment w:val="center"/>
              <w:rPr>
                <w:rFonts w:ascii="宋体" w:hAnsi="宋体" w:cs="宋体"/>
                <w:szCs w:val="21"/>
              </w:rPr>
            </w:pPr>
            <w:r>
              <w:rPr>
                <w:rFonts w:hint="eastAsia" w:ascii="宋体" w:hAnsi="宋体" w:cs="宋体"/>
                <w:szCs w:val="21"/>
              </w:rPr>
              <w:t>7</w:t>
            </w:r>
          </w:p>
        </w:tc>
        <w:tc>
          <w:tcPr>
            <w:tcW w:w="3727" w:type="dxa"/>
            <w:vMerge w:val="continue"/>
            <w:tcBorders>
              <w:left w:val="single" w:color="000000" w:sz="4" w:space="0"/>
              <w:bottom w:val="single" w:color="000000" w:sz="4" w:space="0"/>
              <w:right w:val="single" w:color="000000" w:sz="4" w:space="0"/>
            </w:tcBorders>
            <w:noWrap/>
            <w:vAlign w:val="center"/>
          </w:tcPr>
          <w:p w14:paraId="34E1568D">
            <w:pPr>
              <w:pStyle w:val="7"/>
              <w:spacing w:line="320" w:lineRule="exact"/>
              <w:jc w:val="center"/>
              <w:rPr>
                <w:rFonts w:ascii="宋体" w:hAnsi="宋体" w:cs="宋体"/>
                <w:sz w:val="21"/>
                <w:szCs w:val="21"/>
              </w:rPr>
            </w:pPr>
          </w:p>
        </w:tc>
        <w:tc>
          <w:tcPr>
            <w:tcW w:w="259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A07FE3">
            <w:pPr>
              <w:pStyle w:val="7"/>
              <w:spacing w:line="320" w:lineRule="exact"/>
              <w:jc w:val="center"/>
              <w:rPr>
                <w:rFonts w:ascii="宋体" w:hAnsi="宋体" w:cs="宋体"/>
                <w:sz w:val="21"/>
                <w:szCs w:val="21"/>
              </w:rPr>
            </w:pPr>
            <w:r>
              <w:rPr>
                <w:rFonts w:hint="eastAsia" w:ascii="宋体" w:hAnsi="宋体" w:cs="宋体"/>
                <w:sz w:val="21"/>
                <w:szCs w:val="21"/>
              </w:rPr>
              <w:t>费用共享岗</w:t>
            </w:r>
          </w:p>
        </w:tc>
        <w:tc>
          <w:tcPr>
            <w:tcW w:w="13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B28B3">
            <w:pPr>
              <w:spacing w:line="320" w:lineRule="exact"/>
              <w:jc w:val="center"/>
              <w:rPr>
                <w:rFonts w:ascii="宋体" w:hAnsi="宋体" w:cs="宋体"/>
                <w:szCs w:val="21"/>
              </w:rPr>
            </w:pPr>
            <w:r>
              <w:rPr>
                <w:rFonts w:hint="eastAsia" w:ascii="宋体" w:hAnsi="宋体" w:cs="宋体"/>
                <w:szCs w:val="21"/>
              </w:rPr>
              <w:t>1</w:t>
            </w:r>
          </w:p>
        </w:tc>
        <w:tc>
          <w:tcPr>
            <w:tcW w:w="1800" w:type="dxa"/>
            <w:vMerge w:val="continue"/>
            <w:tcBorders>
              <w:left w:val="single" w:color="auto" w:sz="4" w:space="0"/>
              <w:bottom w:val="single" w:color="auto" w:sz="4" w:space="0"/>
              <w:right w:val="single" w:color="auto" w:sz="4" w:space="0"/>
            </w:tcBorders>
            <w:shd w:val="clear" w:color="auto" w:fill="auto"/>
            <w:noWrap/>
            <w:vAlign w:val="center"/>
          </w:tcPr>
          <w:p w14:paraId="19607242">
            <w:pPr>
              <w:spacing w:line="320" w:lineRule="exact"/>
              <w:jc w:val="center"/>
              <w:rPr>
                <w:rFonts w:ascii="宋体" w:hAnsi="宋体" w:cs="宋体"/>
                <w:sz w:val="24"/>
                <w:szCs w:val="21"/>
              </w:rPr>
            </w:pPr>
          </w:p>
        </w:tc>
      </w:tr>
      <w:tr w14:paraId="601E7F7B">
        <w:tblPrEx>
          <w:tblCellMar>
            <w:top w:w="0" w:type="dxa"/>
            <w:left w:w="28" w:type="dxa"/>
            <w:bottom w:w="0" w:type="dxa"/>
            <w:right w:w="28" w:type="dxa"/>
          </w:tblCellMar>
        </w:tblPrEx>
        <w:trPr>
          <w:trHeight w:val="493"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2BF2E1E0">
            <w:pPr>
              <w:widowControl/>
              <w:spacing w:line="400" w:lineRule="exact"/>
              <w:jc w:val="center"/>
              <w:textAlignment w:val="center"/>
              <w:rPr>
                <w:rFonts w:ascii="宋体" w:hAnsi="宋体" w:cs="宋体"/>
                <w:szCs w:val="21"/>
              </w:rPr>
            </w:pPr>
            <w:r>
              <w:rPr>
                <w:rFonts w:hint="eastAsia" w:ascii="宋体" w:hAnsi="宋体" w:cs="宋体"/>
                <w:szCs w:val="21"/>
              </w:rPr>
              <w:t>8</w:t>
            </w:r>
          </w:p>
        </w:tc>
        <w:tc>
          <w:tcPr>
            <w:tcW w:w="3727" w:type="dxa"/>
            <w:tcBorders>
              <w:left w:val="single" w:color="000000" w:sz="4" w:space="0"/>
              <w:bottom w:val="single" w:color="000000" w:sz="4" w:space="0"/>
              <w:right w:val="single" w:color="000000" w:sz="4" w:space="0"/>
            </w:tcBorders>
            <w:noWrap/>
            <w:vAlign w:val="center"/>
          </w:tcPr>
          <w:p w14:paraId="4B6D6C41">
            <w:pPr>
              <w:pStyle w:val="7"/>
              <w:spacing w:line="320" w:lineRule="exact"/>
              <w:jc w:val="center"/>
              <w:rPr>
                <w:rFonts w:ascii="宋体" w:hAnsi="宋体" w:cs="宋体"/>
                <w:sz w:val="21"/>
                <w:szCs w:val="21"/>
              </w:rPr>
            </w:pPr>
            <w:r>
              <w:rPr>
                <w:rFonts w:hint="eastAsia" w:ascii="宋体" w:hAnsi="宋体" w:cs="宋体"/>
                <w:kern w:val="0"/>
                <w:szCs w:val="21"/>
              </w:rPr>
              <w:t>党群工作部</w:t>
            </w:r>
          </w:p>
        </w:tc>
        <w:tc>
          <w:tcPr>
            <w:tcW w:w="259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00B03D1">
            <w:pPr>
              <w:pStyle w:val="7"/>
              <w:spacing w:line="320" w:lineRule="exact"/>
              <w:jc w:val="center"/>
              <w:rPr>
                <w:rFonts w:ascii="宋体" w:hAnsi="宋体" w:cs="宋体"/>
                <w:sz w:val="21"/>
                <w:szCs w:val="21"/>
              </w:rPr>
            </w:pPr>
            <w:r>
              <w:rPr>
                <w:rFonts w:hint="eastAsia" w:ascii="宋体" w:hAnsi="宋体" w:cs="宋体"/>
                <w:kern w:val="0"/>
                <w:szCs w:val="21"/>
              </w:rPr>
              <w:t>党建事务岗</w:t>
            </w:r>
          </w:p>
        </w:tc>
        <w:tc>
          <w:tcPr>
            <w:tcW w:w="13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831B6">
            <w:pPr>
              <w:spacing w:line="320" w:lineRule="exact"/>
              <w:jc w:val="center"/>
              <w:rPr>
                <w:rFonts w:ascii="宋体" w:hAnsi="宋体" w:cs="宋体"/>
                <w:szCs w:val="21"/>
              </w:rPr>
            </w:pPr>
            <w:r>
              <w:rPr>
                <w:rFonts w:hint="eastAsia" w:ascii="宋体" w:hAnsi="宋体" w:cs="宋体"/>
                <w:szCs w:val="21"/>
              </w:rPr>
              <w:t>1</w:t>
            </w:r>
          </w:p>
        </w:tc>
        <w:tc>
          <w:tcPr>
            <w:tcW w:w="1800" w:type="dxa"/>
            <w:vMerge w:val="restart"/>
            <w:tcBorders>
              <w:top w:val="single" w:color="auto" w:sz="4" w:space="0"/>
              <w:left w:val="single" w:color="auto" w:sz="4" w:space="0"/>
              <w:right w:val="single" w:color="auto" w:sz="4" w:space="0"/>
            </w:tcBorders>
            <w:shd w:val="clear" w:color="auto" w:fill="auto"/>
            <w:noWrap/>
            <w:vAlign w:val="center"/>
          </w:tcPr>
          <w:p w14:paraId="75F11F0C">
            <w:pPr>
              <w:spacing w:line="320" w:lineRule="exact"/>
              <w:jc w:val="center"/>
              <w:rPr>
                <w:rFonts w:ascii="宋体" w:hAnsi="宋体" w:cs="宋体"/>
                <w:sz w:val="24"/>
                <w:szCs w:val="21"/>
              </w:rPr>
            </w:pPr>
            <w:r>
              <w:rPr>
                <w:rFonts w:hint="eastAsia" w:ascii="宋体" w:hAnsi="宋体" w:cs="宋体"/>
                <w:sz w:val="24"/>
                <w:szCs w:val="21"/>
              </w:rPr>
              <w:t>所属企业江投气服</w:t>
            </w:r>
          </w:p>
        </w:tc>
      </w:tr>
      <w:tr w14:paraId="4F0621D2">
        <w:tblPrEx>
          <w:tblCellMar>
            <w:top w:w="0" w:type="dxa"/>
            <w:left w:w="28" w:type="dxa"/>
            <w:bottom w:w="0" w:type="dxa"/>
            <w:right w:w="28" w:type="dxa"/>
          </w:tblCellMar>
        </w:tblPrEx>
        <w:trPr>
          <w:trHeight w:val="493"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14:paraId="333420F6">
            <w:pPr>
              <w:widowControl/>
              <w:spacing w:line="400" w:lineRule="exact"/>
              <w:jc w:val="center"/>
              <w:textAlignment w:val="center"/>
              <w:rPr>
                <w:rFonts w:ascii="宋体" w:hAnsi="宋体" w:cs="宋体"/>
                <w:szCs w:val="21"/>
              </w:rPr>
            </w:pPr>
            <w:r>
              <w:rPr>
                <w:rFonts w:hint="eastAsia" w:ascii="宋体" w:hAnsi="宋体" w:cs="宋体"/>
                <w:szCs w:val="21"/>
              </w:rPr>
              <w:t>9</w:t>
            </w:r>
          </w:p>
        </w:tc>
        <w:tc>
          <w:tcPr>
            <w:tcW w:w="3727" w:type="dxa"/>
            <w:tcBorders>
              <w:left w:val="single" w:color="000000" w:sz="4" w:space="0"/>
              <w:bottom w:val="single" w:color="000000" w:sz="4" w:space="0"/>
              <w:right w:val="single" w:color="000000" w:sz="4" w:space="0"/>
            </w:tcBorders>
            <w:noWrap/>
            <w:vAlign w:val="center"/>
          </w:tcPr>
          <w:p w14:paraId="0AEA71FE">
            <w:pPr>
              <w:pStyle w:val="7"/>
              <w:spacing w:line="320" w:lineRule="exact"/>
              <w:jc w:val="center"/>
              <w:rPr>
                <w:rFonts w:ascii="宋体" w:hAnsi="宋体" w:cs="宋体"/>
                <w:sz w:val="21"/>
                <w:szCs w:val="21"/>
              </w:rPr>
            </w:pPr>
            <w:r>
              <w:rPr>
                <w:rFonts w:hint="eastAsia" w:ascii="宋体" w:hAnsi="宋体" w:cs="宋体"/>
                <w:kern w:val="0"/>
                <w:szCs w:val="21"/>
              </w:rPr>
              <w:t>计划财务部</w:t>
            </w:r>
          </w:p>
        </w:tc>
        <w:tc>
          <w:tcPr>
            <w:tcW w:w="259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0862F00">
            <w:pPr>
              <w:pStyle w:val="7"/>
              <w:spacing w:line="320" w:lineRule="exact"/>
              <w:jc w:val="center"/>
              <w:rPr>
                <w:rFonts w:ascii="宋体" w:hAnsi="宋体" w:cs="宋体"/>
                <w:sz w:val="21"/>
                <w:szCs w:val="21"/>
              </w:rPr>
            </w:pPr>
            <w:r>
              <w:rPr>
                <w:rFonts w:hint="eastAsia" w:ascii="宋体" w:hAnsi="宋体" w:cs="宋体"/>
                <w:kern w:val="0"/>
                <w:szCs w:val="21"/>
              </w:rPr>
              <w:t>会计核算岗</w:t>
            </w:r>
          </w:p>
        </w:tc>
        <w:tc>
          <w:tcPr>
            <w:tcW w:w="13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91FE5">
            <w:pPr>
              <w:spacing w:line="320" w:lineRule="exact"/>
              <w:jc w:val="center"/>
              <w:rPr>
                <w:rFonts w:ascii="宋体" w:hAnsi="宋体" w:cs="宋体"/>
                <w:szCs w:val="21"/>
              </w:rPr>
            </w:pPr>
            <w:r>
              <w:rPr>
                <w:rFonts w:hint="eastAsia" w:ascii="宋体" w:hAnsi="宋体" w:cs="宋体"/>
                <w:szCs w:val="21"/>
              </w:rPr>
              <w:t>1</w:t>
            </w:r>
          </w:p>
        </w:tc>
        <w:tc>
          <w:tcPr>
            <w:tcW w:w="1800" w:type="dxa"/>
            <w:vMerge w:val="continue"/>
            <w:tcBorders>
              <w:left w:val="single" w:color="auto" w:sz="4" w:space="0"/>
              <w:bottom w:val="single" w:color="auto" w:sz="4" w:space="0"/>
              <w:right w:val="single" w:color="auto" w:sz="4" w:space="0"/>
            </w:tcBorders>
            <w:shd w:val="clear" w:color="auto" w:fill="auto"/>
            <w:noWrap/>
            <w:vAlign w:val="center"/>
          </w:tcPr>
          <w:p w14:paraId="5D0DC5F3">
            <w:pPr>
              <w:spacing w:line="320" w:lineRule="exact"/>
              <w:jc w:val="center"/>
              <w:rPr>
                <w:rFonts w:ascii="宋体" w:hAnsi="宋体" w:cs="宋体"/>
                <w:sz w:val="24"/>
                <w:szCs w:val="21"/>
              </w:rPr>
            </w:pPr>
          </w:p>
        </w:tc>
      </w:tr>
      <w:tr w14:paraId="08254002">
        <w:tblPrEx>
          <w:tblCellMar>
            <w:top w:w="0" w:type="dxa"/>
            <w:left w:w="28" w:type="dxa"/>
            <w:bottom w:w="0" w:type="dxa"/>
            <w:right w:w="28" w:type="dxa"/>
          </w:tblCellMar>
        </w:tblPrEx>
        <w:trPr>
          <w:trHeight w:val="522" w:hRule="atLeast"/>
          <w:jc w:val="center"/>
        </w:trPr>
        <w:tc>
          <w:tcPr>
            <w:tcW w:w="4294" w:type="dxa"/>
            <w:gridSpan w:val="2"/>
            <w:tcBorders>
              <w:top w:val="single" w:color="000000" w:sz="4" w:space="0"/>
              <w:left w:val="single" w:color="000000" w:sz="4" w:space="0"/>
              <w:bottom w:val="single" w:color="000000" w:sz="4" w:space="0"/>
              <w:right w:val="single" w:color="000000" w:sz="4" w:space="0"/>
            </w:tcBorders>
            <w:noWrap/>
            <w:vAlign w:val="center"/>
          </w:tcPr>
          <w:p w14:paraId="26917CA0">
            <w:pPr>
              <w:pStyle w:val="7"/>
              <w:spacing w:line="320" w:lineRule="exact"/>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小计</w:t>
            </w:r>
          </w:p>
        </w:tc>
        <w:tc>
          <w:tcPr>
            <w:tcW w:w="259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8EEA08">
            <w:pPr>
              <w:pStyle w:val="7"/>
              <w:spacing w:line="320" w:lineRule="exact"/>
              <w:jc w:val="center"/>
              <w:rPr>
                <w:rFonts w:ascii="仿宋_GB2312" w:hAnsi="仿宋_GB2312" w:eastAsia="仿宋_GB2312" w:cs="仿宋_GB2312"/>
                <w:b/>
                <w:bCs/>
                <w:sz w:val="21"/>
                <w:szCs w:val="21"/>
              </w:rPr>
            </w:pPr>
          </w:p>
        </w:tc>
        <w:tc>
          <w:tcPr>
            <w:tcW w:w="13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80B85">
            <w:pPr>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lang w:val="en-US" w:eastAsia="zh-CN"/>
              </w:rPr>
              <w:t>9</w:t>
            </w:r>
            <w:r>
              <w:rPr>
                <w:rFonts w:ascii="仿宋_GB2312" w:hAnsi="仿宋_GB2312" w:eastAsia="仿宋_GB2312" w:cs="仿宋_GB2312"/>
                <w:b/>
                <w:bCs/>
                <w:szCs w:val="21"/>
              </w:rPr>
              <w:t>人</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286BE">
            <w:pPr>
              <w:widowControl/>
              <w:spacing w:line="320" w:lineRule="exact"/>
              <w:jc w:val="center"/>
              <w:textAlignment w:val="center"/>
              <w:rPr>
                <w:rFonts w:ascii="仿宋_GB2312" w:hAnsi="仿宋_GB2312" w:eastAsia="仿宋_GB2312" w:cs="仿宋_GB2312"/>
                <w:b/>
                <w:bCs/>
                <w:kern w:val="0"/>
                <w:szCs w:val="21"/>
              </w:rPr>
            </w:pPr>
          </w:p>
        </w:tc>
      </w:tr>
      <w:tr w14:paraId="56C79F29">
        <w:tblPrEx>
          <w:tblCellMar>
            <w:top w:w="0" w:type="dxa"/>
            <w:left w:w="28" w:type="dxa"/>
            <w:bottom w:w="0" w:type="dxa"/>
            <w:right w:w="28" w:type="dxa"/>
          </w:tblCellMar>
        </w:tblPrEx>
        <w:trPr>
          <w:trHeight w:val="522" w:hRule="atLeast"/>
          <w:jc w:val="center"/>
        </w:trPr>
        <w:tc>
          <w:tcPr>
            <w:tcW w:w="10067" w:type="dxa"/>
            <w:gridSpan w:val="5"/>
            <w:tcBorders>
              <w:top w:val="single" w:color="000000" w:sz="4" w:space="0"/>
              <w:left w:val="single" w:color="000000" w:sz="4" w:space="0"/>
              <w:bottom w:val="single" w:color="000000" w:sz="4" w:space="0"/>
              <w:right w:val="single" w:color="auto" w:sz="4" w:space="0"/>
            </w:tcBorders>
            <w:noWrap/>
            <w:vAlign w:val="center"/>
          </w:tcPr>
          <w:p w14:paraId="723CE649">
            <w:pPr>
              <w:pStyle w:val="7"/>
              <w:spacing w:line="320" w:lineRule="exact"/>
              <w:jc w:val="left"/>
              <w:rPr>
                <w:rFonts w:hint="default" w:ascii="仿宋_GB2312" w:hAnsi="仿宋_GB2312" w:eastAsia="宋体" w:cs="仿宋_GB2312"/>
                <w:b/>
                <w:bCs/>
                <w:kern w:val="0"/>
                <w:szCs w:val="21"/>
                <w:lang w:val="en-US" w:eastAsia="zh-CN"/>
              </w:rPr>
            </w:pPr>
            <w:r>
              <w:rPr>
                <w:rFonts w:hint="eastAsia" w:ascii="宋体" w:hAnsi="宋体" w:cs="宋体"/>
                <w:kern w:val="0"/>
                <w:szCs w:val="21"/>
                <w:lang w:val="en-US" w:eastAsia="zh-CN"/>
              </w:rPr>
              <w:t>注：所属企业</w:t>
            </w:r>
            <w:r>
              <w:rPr>
                <w:rFonts w:hint="eastAsia" w:ascii="宋体" w:hAnsi="宋体" w:cs="宋体"/>
                <w:kern w:val="0"/>
                <w:szCs w:val="21"/>
              </w:rPr>
              <w:t>江投气服</w:t>
            </w:r>
            <w:r>
              <w:rPr>
                <w:rFonts w:hint="eastAsia" w:ascii="宋体" w:hAnsi="宋体" w:cs="宋体"/>
                <w:kern w:val="0"/>
                <w:szCs w:val="21"/>
                <w:lang w:val="en-US" w:eastAsia="zh-CN"/>
              </w:rPr>
              <w:t>党建事务岗、</w:t>
            </w:r>
            <w:r>
              <w:rPr>
                <w:rFonts w:hint="eastAsia" w:ascii="宋体" w:hAnsi="宋体" w:cs="宋体"/>
                <w:kern w:val="0"/>
                <w:szCs w:val="21"/>
              </w:rPr>
              <w:t>会计核算岗</w:t>
            </w:r>
            <w:r>
              <w:rPr>
                <w:rFonts w:hint="eastAsia" w:ascii="宋体" w:hAnsi="宋体" w:cs="宋体"/>
                <w:kern w:val="0"/>
                <w:szCs w:val="21"/>
                <w:lang w:val="en-US" w:eastAsia="zh-CN"/>
              </w:rPr>
              <w:t>与天然气集团总部联合招聘。</w:t>
            </w:r>
          </w:p>
        </w:tc>
      </w:tr>
    </w:tbl>
    <w:p w14:paraId="372322C8">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、招聘条件</w:t>
      </w:r>
    </w:p>
    <w:p w14:paraId="19D0CA62">
      <w:pPr>
        <w:keepNext w:val="0"/>
        <w:keepLines w:val="0"/>
        <w:pageBreakBefore w:val="0"/>
        <w:widowControl/>
        <w:shd w:val="clear" w:color="auto" w:fill="FFFFFF"/>
        <w:kinsoku/>
        <w:wordWrap/>
        <w:overflowPunct/>
        <w:topLinePunct w:val="0"/>
        <w:bidi w:val="0"/>
        <w:snapToGrid/>
        <w:spacing w:line="560" w:lineRule="exact"/>
        <w:ind w:firstLine="643" w:firstLineChars="200"/>
        <w:textAlignment w:val="auto"/>
        <w:outlineLvl w:val="1"/>
        <w:rPr>
          <w:rFonts w:hint="eastAsia" w:ascii="楷体" w:hAnsi="楷体" w:eastAsia="楷体" w:cs="楷体"/>
          <w:b/>
          <w:bCs/>
          <w:kern w:val="0"/>
          <w:sz w:val="32"/>
          <w:szCs w:val="32"/>
        </w:rPr>
      </w:pPr>
      <w:r>
        <w:rPr>
          <w:rFonts w:hint="eastAsia" w:ascii="楷体" w:hAnsi="楷体" w:eastAsia="楷体" w:cs="楷体"/>
          <w:b/>
          <w:bCs/>
          <w:kern w:val="0"/>
          <w:sz w:val="32"/>
          <w:szCs w:val="32"/>
        </w:rPr>
        <w:t>（一）基本条件</w:t>
      </w:r>
    </w:p>
    <w:p w14:paraId="08CE7A13">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1.具有中华人民共和国国籍，遵守中华人民共和国宪法、法律，拥护中国共产党的领导，无违法犯罪记录；</w:t>
      </w:r>
    </w:p>
    <w:p w14:paraId="020B4B38">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2.具有良好的品行和职业素质，有较强的事业心和责任感，身体健康；</w:t>
      </w:r>
    </w:p>
    <w:p w14:paraId="54AC9D3C">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具有国家承认的学历、学位(留学人员须取得教育部中国留学服务中心出具的境外学历认证书),岗位最低学历要求及以下的高等学历教育各阶段均需取得相应学历学位，具备岗位所需的任职资格及技能要求，能胜任岗位工作；</w:t>
      </w:r>
    </w:p>
    <w:p w14:paraId="67F7B6A7">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各岗位应聘人员应熟悉相关领域的国家法律法规、具有良好的办公技能；各岗位所需的任职资格、技能要求及其他条件要求按照国家法律法规、行业标准等确定；符合国家相关法律法规对国有企业工作人员录用要求</w:t>
      </w:r>
      <w:r>
        <w:rPr>
          <w:rFonts w:hint="eastAsia" w:ascii="仿宋_GB2312" w:hAnsi="仿宋_GB2312" w:eastAsia="仿宋_GB2312" w:cs="仿宋_GB2312"/>
          <w:kern w:val="0"/>
          <w:sz w:val="32"/>
          <w:szCs w:val="32"/>
          <w:shd w:val="clear" w:color="auto" w:fill="FFFFFF"/>
          <w:lang w:val="en-US" w:eastAsia="zh-CN"/>
        </w:rPr>
        <w:t>和</w:t>
      </w:r>
      <w:r>
        <w:rPr>
          <w:rFonts w:hint="eastAsia" w:ascii="仿宋_GB2312" w:hAnsi="仿宋_GB2312" w:eastAsia="仿宋_GB2312" w:cs="仿宋_GB2312"/>
          <w:kern w:val="0"/>
          <w:sz w:val="32"/>
          <w:szCs w:val="32"/>
          <w:shd w:val="clear" w:color="auto" w:fill="FFFFFF"/>
        </w:rPr>
        <w:t>身体条件要求参照国家公务员录用工作要求。</w:t>
      </w:r>
    </w:p>
    <w:p w14:paraId="7B4424B9">
      <w:pPr>
        <w:keepNext w:val="0"/>
        <w:keepLines w:val="0"/>
        <w:pageBreakBefore w:val="0"/>
        <w:widowControl/>
        <w:shd w:val="clear" w:color="auto" w:fill="FFFFFF"/>
        <w:kinsoku/>
        <w:wordWrap/>
        <w:overflowPunct/>
        <w:topLinePunct w:val="0"/>
        <w:bidi w:val="0"/>
        <w:snapToGrid/>
        <w:spacing w:line="560" w:lineRule="exact"/>
        <w:ind w:firstLine="643" w:firstLineChars="200"/>
        <w:textAlignment w:val="auto"/>
        <w:outlineLvl w:val="1"/>
        <w:rPr>
          <w:rFonts w:hint="eastAsia" w:ascii="楷体" w:hAnsi="楷体" w:eastAsia="楷体" w:cs="楷体"/>
          <w:b/>
          <w:bCs/>
          <w:kern w:val="0"/>
          <w:sz w:val="32"/>
          <w:szCs w:val="32"/>
        </w:rPr>
      </w:pPr>
      <w:r>
        <w:rPr>
          <w:rFonts w:hint="eastAsia" w:ascii="楷体" w:hAnsi="楷体" w:eastAsia="楷体" w:cs="楷体"/>
          <w:b/>
          <w:bCs/>
          <w:kern w:val="0"/>
          <w:sz w:val="32"/>
          <w:szCs w:val="32"/>
        </w:rPr>
        <w:t>（二）具有下列情形之一的，不得报名：</w:t>
      </w:r>
    </w:p>
    <w:p w14:paraId="41070863">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1.涉嫌违法违纪正在接受纪检监察机关或者司法机关审查尚未作出结论的或曾因犯罪受过刑事处罚的；</w:t>
      </w:r>
    </w:p>
    <w:p w14:paraId="518B6A2E">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eastAsia="zh-CN"/>
        </w:rPr>
        <w:t>在</w:t>
      </w:r>
      <w:r>
        <w:rPr>
          <w:rFonts w:hint="eastAsia" w:ascii="仿宋_GB2312" w:hAnsi="仿宋_GB2312" w:eastAsia="仿宋_GB2312" w:cs="仿宋_GB2312"/>
          <w:kern w:val="0"/>
          <w:sz w:val="32"/>
          <w:szCs w:val="32"/>
          <w:shd w:val="clear" w:color="auto" w:fill="FFFFFF"/>
        </w:rPr>
        <w:t>校期间有严重违纪行为并受到处分的；</w:t>
      </w:r>
    </w:p>
    <w:p w14:paraId="0CEFAD90">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3.被依法列为失信联合惩戒对象的；</w:t>
      </w:r>
    </w:p>
    <w:p w14:paraId="2EEA6ADE">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eastAsia="zh-CN"/>
        </w:rPr>
        <w:t>其他不适宜报考的人员。</w:t>
      </w:r>
    </w:p>
    <w:p w14:paraId="50A730EE">
      <w:pPr>
        <w:keepNext w:val="0"/>
        <w:keepLines w:val="0"/>
        <w:pageBreakBefore w:val="0"/>
        <w:widowControl/>
        <w:shd w:val="clear" w:color="auto" w:fill="FFFFFF"/>
        <w:kinsoku/>
        <w:wordWrap/>
        <w:overflowPunct/>
        <w:topLinePunct w:val="0"/>
        <w:bidi w:val="0"/>
        <w:snapToGrid/>
        <w:spacing w:line="560" w:lineRule="exact"/>
        <w:ind w:firstLine="643" w:firstLineChars="200"/>
        <w:textAlignment w:val="auto"/>
        <w:outlineLvl w:val="1"/>
        <w:rPr>
          <w:rFonts w:hint="eastAsia" w:ascii="楷体" w:hAnsi="楷体" w:eastAsia="楷体" w:cs="楷体"/>
          <w:b/>
          <w:bCs/>
          <w:kern w:val="0"/>
          <w:sz w:val="32"/>
          <w:szCs w:val="32"/>
        </w:rPr>
      </w:pPr>
      <w:r>
        <w:rPr>
          <w:rFonts w:hint="eastAsia" w:ascii="楷体" w:hAnsi="楷体" w:eastAsia="楷体" w:cs="楷体"/>
          <w:b/>
          <w:bCs/>
          <w:kern w:val="0"/>
          <w:sz w:val="32"/>
          <w:szCs w:val="32"/>
        </w:rPr>
        <w:t>（三）岗位具体条件</w:t>
      </w:r>
    </w:p>
    <w:p w14:paraId="70B74E31">
      <w:pPr>
        <w:keepNext w:val="0"/>
        <w:keepLines w:val="0"/>
        <w:pageBreakBefore w:val="0"/>
        <w:widowControl/>
        <w:shd w:val="clear" w:color="auto" w:fill="FFFFFF"/>
        <w:kinsoku/>
        <w:wordWrap/>
        <w:overflowPunct/>
        <w:topLinePunct w:val="0"/>
        <w:bidi w:val="0"/>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全国普通高等院校统招统2025应届毕业生，初次就业且具有教育部留学服务中心派遣资格的国&lt;境&gt;外院校留学生（在2025年8月31日前毕业并取得相应的学历学位证书，且报到时取得教育部国&lt;境&gt;外学历学位认证证书）；</w:t>
      </w:r>
    </w:p>
    <w:p w14:paraId="138F8E69">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color w:val="000000"/>
          <w:sz w:val="32"/>
          <w:szCs w:val="32"/>
        </w:rPr>
        <w:t>除2025届</w:t>
      </w:r>
      <w:r>
        <w:rPr>
          <w:rFonts w:hint="eastAsia" w:ascii="仿宋_GB2312" w:hAnsi="仿宋_GB2312" w:eastAsia="仿宋_GB2312" w:cs="仿宋_GB2312"/>
          <w:kern w:val="0"/>
          <w:sz w:val="32"/>
          <w:szCs w:val="32"/>
        </w:rPr>
        <w:t>普通高等院校</w:t>
      </w:r>
      <w:r>
        <w:rPr>
          <w:rFonts w:hint="eastAsia" w:ascii="仿宋_GB2312" w:hAnsi="仿宋_GB2312" w:eastAsia="仿宋_GB2312" w:cs="仿宋_GB2312"/>
          <w:color w:val="000000"/>
          <w:sz w:val="32"/>
          <w:szCs w:val="32"/>
        </w:rPr>
        <w:t>毕业生外，毕业时间在2023年1月1日以后的两年择业期大学生</w:t>
      </w:r>
      <w:r>
        <w:rPr>
          <w:rFonts w:hint="eastAsia" w:ascii="仿宋_GB2312" w:hAnsi="仿宋_GB2312" w:eastAsia="仿宋_GB2312" w:cs="仿宋_GB2312"/>
          <w:kern w:val="0"/>
          <w:sz w:val="32"/>
          <w:szCs w:val="32"/>
        </w:rPr>
        <w:t>并取得相应的学历学位证书，</w:t>
      </w:r>
      <w:r>
        <w:rPr>
          <w:rFonts w:hint="eastAsia" w:ascii="仿宋_GB2312" w:hAnsi="仿宋_GB2312" w:eastAsia="仿宋_GB2312" w:cs="仿宋_GB2312"/>
          <w:color w:val="000000"/>
          <w:sz w:val="32"/>
          <w:szCs w:val="32"/>
        </w:rPr>
        <w:t>未缴纳过社保的人员。</w:t>
      </w:r>
    </w:p>
    <w:p w14:paraId="5B066423">
      <w:pPr>
        <w:keepNext w:val="0"/>
        <w:keepLines w:val="0"/>
        <w:pageBreakBefore w:val="0"/>
        <w:widowControl/>
        <w:shd w:val="clear" w:color="auto" w:fill="FFFFFF"/>
        <w:kinsoku/>
        <w:wordWrap/>
        <w:overflowPunct/>
        <w:topLinePunct w:val="0"/>
        <w:bidi w:val="0"/>
        <w:snapToGrid/>
        <w:spacing w:line="560" w:lineRule="exact"/>
        <w:ind w:firstLine="640" w:firstLineChars="200"/>
        <w:textAlignment w:val="auto"/>
        <w:rPr>
          <w:rFonts w:ascii="仿宋_GB2312" w:hAnsi="仿宋_GB2312" w:eastAsia="仿宋_GB2312" w:cs="仿宋_GB2312"/>
          <w:b/>
          <w:bCs/>
          <w:color w:val="C00000"/>
          <w:kern w:val="0"/>
          <w:sz w:val="32"/>
          <w:szCs w:val="32"/>
        </w:rPr>
      </w:pPr>
      <w:r>
        <w:rPr>
          <w:rFonts w:hint="eastAsia" w:ascii="仿宋_GB2312" w:hAnsi="仿宋_GB2312" w:eastAsia="仿宋_GB2312" w:cs="仿宋_GB2312"/>
          <w:kern w:val="0"/>
          <w:sz w:val="32"/>
          <w:szCs w:val="32"/>
        </w:rPr>
        <w:t>3.招聘岗位所需要的具体条件详见《公开招聘岗位信息表》（见附件）其岗位对应专业要求指最高学历所学专业。</w:t>
      </w:r>
    </w:p>
    <w:p w14:paraId="116FA9D1">
      <w:pPr>
        <w:keepNext w:val="0"/>
        <w:keepLines w:val="0"/>
        <w:pageBreakBefore w:val="0"/>
        <w:kinsoku/>
        <w:wordWrap/>
        <w:overflowPunct/>
        <w:topLinePunct w:val="0"/>
        <w:bidi w:val="0"/>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、招聘方式及流程</w:t>
      </w:r>
    </w:p>
    <w:p w14:paraId="0D0F4881">
      <w:pPr>
        <w:keepNext w:val="0"/>
        <w:keepLines w:val="0"/>
        <w:pageBreakBefore w:val="0"/>
        <w:widowControl/>
        <w:shd w:val="clear" w:color="auto" w:fill="FFFFFF"/>
        <w:kinsoku/>
        <w:wordWrap/>
        <w:overflowPunct/>
        <w:topLinePunct w:val="0"/>
        <w:bidi w:val="0"/>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本次招聘工作按照网上报名、资格审查、</w:t>
      </w:r>
      <w:r>
        <w:rPr>
          <w:rFonts w:hint="eastAsia" w:ascii="仿宋_GB2312" w:hAnsi="仿宋_GB2312" w:eastAsia="仿宋_GB2312" w:cs="仿宋_GB2312"/>
          <w:sz w:val="32"/>
        </w:rPr>
        <w:t>考试考核、</w:t>
      </w:r>
      <w:r>
        <w:rPr>
          <w:rFonts w:hint="eastAsia" w:ascii="仿宋_GB2312" w:hAnsi="仿宋_GB2312" w:eastAsia="仿宋_GB2312" w:cs="仿宋_GB2312"/>
          <w:kern w:val="0"/>
          <w:sz w:val="32"/>
          <w:szCs w:val="32"/>
        </w:rPr>
        <w:t>体检考察、公示录用等程序依次进行。</w:t>
      </w:r>
    </w:p>
    <w:p w14:paraId="083CA644">
      <w:pPr>
        <w:pStyle w:val="7"/>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楷体" w:hAnsi="楷体" w:eastAsia="楷体" w:cs="楷体"/>
          <w:b/>
          <w:bCs/>
          <w:kern w:val="0"/>
          <w:sz w:val="32"/>
          <w:szCs w:val="32"/>
          <w:lang w:val="en-US" w:eastAsia="zh-CN" w:bidi="ar-SA"/>
        </w:rPr>
        <w:t>（一）网上报名。</w:t>
      </w:r>
      <w:r>
        <w:rPr>
          <w:rFonts w:hint="eastAsia" w:ascii="仿宋_GB2312" w:hAnsi="仿宋_GB2312" w:eastAsia="仿宋_GB2312" w:cs="仿宋_GB2312"/>
          <w:kern w:val="0"/>
          <w:sz w:val="32"/>
          <w:szCs w:val="32"/>
        </w:rPr>
        <w:t>本次公开招聘通过招聘网申系统进行报名，每位应聘人员限报1个岗位。岗位报名时间为</w:t>
      </w:r>
      <w:r>
        <w:rPr>
          <w:rFonts w:hint="eastAsia" w:ascii="仿宋_GB2312" w:hAnsi="仿宋_GB2312" w:eastAsia="仿宋_GB2312" w:cs="仿宋_GB2312"/>
          <w:kern w:val="0"/>
          <w:sz w:val="32"/>
          <w:szCs w:val="32"/>
          <w:highlight w:val="yellow"/>
        </w:rPr>
        <w:t>2025年</w:t>
      </w:r>
      <w:r>
        <w:rPr>
          <w:rFonts w:hint="eastAsia" w:ascii="仿宋_GB2312" w:hAnsi="仿宋_GB2312" w:eastAsia="仿宋_GB2312" w:cs="仿宋_GB2312"/>
          <w:kern w:val="0"/>
          <w:sz w:val="32"/>
          <w:szCs w:val="32"/>
          <w:highlight w:val="yellow"/>
          <w:lang w:val="en-US" w:eastAsia="zh-CN"/>
        </w:rPr>
        <w:t>6</w:t>
      </w:r>
      <w:r>
        <w:rPr>
          <w:rFonts w:hint="eastAsia" w:ascii="仿宋_GB2312" w:hAnsi="仿宋_GB2312" w:eastAsia="仿宋_GB2312" w:cs="仿宋_GB2312"/>
          <w:kern w:val="0"/>
          <w:sz w:val="32"/>
          <w:szCs w:val="32"/>
          <w:highlight w:val="yellow"/>
        </w:rPr>
        <w:t>月</w:t>
      </w:r>
      <w:r>
        <w:rPr>
          <w:rFonts w:hint="eastAsia" w:ascii="仿宋_GB2312" w:hAnsi="仿宋_GB2312" w:eastAsia="仿宋_GB2312" w:cs="仿宋_GB2312"/>
          <w:kern w:val="0"/>
          <w:sz w:val="32"/>
          <w:szCs w:val="32"/>
          <w:highlight w:val="yellow"/>
          <w:lang w:val="en-US" w:eastAsia="zh-CN"/>
        </w:rPr>
        <w:t>3</w:t>
      </w:r>
      <w:r>
        <w:rPr>
          <w:rFonts w:hint="eastAsia" w:ascii="仿宋_GB2312" w:hAnsi="仿宋_GB2312" w:eastAsia="仿宋_GB2312" w:cs="仿宋_GB2312"/>
          <w:kern w:val="0"/>
          <w:sz w:val="32"/>
          <w:szCs w:val="32"/>
          <w:highlight w:val="yellow"/>
        </w:rPr>
        <w:t>日至6月11日24:00</w:t>
      </w:r>
      <w:r>
        <w:rPr>
          <w:rFonts w:hint="eastAsia" w:ascii="仿宋_GB2312" w:hAnsi="仿宋_GB2312" w:eastAsia="仿宋_GB2312" w:cs="仿宋_GB2312"/>
          <w:kern w:val="0"/>
          <w:sz w:val="32"/>
          <w:szCs w:val="32"/>
          <w:highlight w:val="yellow"/>
          <w:lang w:eastAsia="zh-CN"/>
        </w:rPr>
        <w:t>。</w:t>
      </w:r>
    </w:p>
    <w:p w14:paraId="228DEDF7">
      <w:pPr>
        <w:pStyle w:val="7"/>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1.报名方式：扫描招聘公告中的报名二维码进入招聘网申系统进行注册报名；移动端报名链接分享至PC端后，可实现在PC端注册报名；</w:t>
      </w:r>
    </w:p>
    <w:p w14:paraId="1834CB24">
      <w:pPr>
        <w:pStyle w:val="3"/>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2.本次应聘实行诚信报名，应聘者报名前应仔细阅读岗位报名条件，真实、准确、完整地填写个人信息，并上传本人半年内免冠正面电子照片（jpg 格式，100kb 以下）、身份证、高等教育各阶段学历学位证及《教育部学历证书电子注册备案表》(暂未毕业的应届毕业生最高学历提供《学籍在线验证报告》)、签字版诚信承诺书、职称技能证书以及其他资质和获奖证书等有关证明材料(岗位要求中共党员的需提供党组织关系证明材料)。未能在规定时间内完成报名并按要求上传附件资料的，视为放弃报名资格，后果自行承担。</w:t>
      </w:r>
    </w:p>
    <w:p w14:paraId="4D3A5CAE">
      <w:pPr>
        <w:keepNext w:val="0"/>
        <w:keepLines w:val="0"/>
        <w:pageBreakBefore w:val="0"/>
        <w:shd w:val="clear" w:color="auto" w:fill="FFFFFF"/>
        <w:kinsoku/>
        <w:wordWrap/>
        <w:overflowPunct/>
        <w:topLinePunct w:val="0"/>
        <w:bidi w:val="0"/>
        <w:snapToGrid/>
        <w:spacing w:line="560" w:lineRule="exact"/>
        <w:ind w:firstLine="643" w:firstLineChars="200"/>
        <w:textAlignment w:val="auto"/>
        <w:outlineLvl w:val="1"/>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（二）资格审查</w:t>
      </w:r>
    </w:p>
    <w:p w14:paraId="0A5DA085">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资格审查贯穿招聘工作全过程，在招聘工作各阶段发现应聘者不符合招聘资格条件或弄虚作假的，将取消其应聘或录用资格，后果由应聘者自行承担。资格审查分为线上审查和现场审查。</w:t>
      </w:r>
    </w:p>
    <w:p w14:paraId="01C0942E">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1.线上资格审查。根据岗位招聘条件要求，对应聘者的资格进行线上审查，</w:t>
      </w:r>
      <w:r>
        <w:rPr>
          <w:rFonts w:hint="eastAsia" w:ascii="仿宋_GB2312" w:hAnsi="仿宋_GB2312" w:eastAsia="仿宋_GB2312" w:cs="仿宋_GB2312"/>
          <w:sz w:val="32"/>
          <w:szCs w:val="32"/>
          <w:lang w:val="en-US" w:eastAsia="zh-CN"/>
        </w:rPr>
        <w:t>确定参加笔试人选。</w:t>
      </w:r>
      <w:r>
        <w:rPr>
          <w:rFonts w:hint="eastAsia" w:ascii="仿宋_GB2312" w:hAnsi="仿宋_GB2312" w:eastAsia="仿宋_GB2312" w:cs="仿宋_GB2312"/>
          <w:sz w:val="32"/>
          <w:szCs w:val="32"/>
        </w:rPr>
        <w:t>通过资格审查人数与岗位需求比例原则上不低于3:1，对未达到比例的，将核减招聘数或重新组织招聘</w:t>
      </w:r>
      <w:r>
        <w:rPr>
          <w:rFonts w:hint="eastAsia" w:ascii="仿宋_GB2312" w:hAnsi="仿宋_GB2312" w:eastAsia="仿宋_GB2312" w:cs="仿宋_GB2312"/>
          <w:sz w:val="32"/>
          <w:szCs w:val="32"/>
          <w:lang w:val="zh-CN"/>
        </w:rPr>
        <w:t>。</w:t>
      </w:r>
    </w:p>
    <w:p w14:paraId="3CB1343A">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现场资格审查。现场资格审查时间及地点另行通知。现场资格审查所需提供的材料：①报名系统下载并签名的《报名登记表》;②身份证原件及复印件；③高等教育各阶段学历、学位证书原件及复印件；④中国高等教育学生信息网(学信网)上下载并打印的高等教育各阶段《教育部学历证书电子注册备案表》(暂未毕业的应届毕业生，最高学历未被认证情况下提供《学籍在线验证报告》);国境外取得学历学位的，需提供教育部留学服务中心出具的《学历学位认证》;⑤签字版诚信承诺书；⑥与应聘岗位所需条件相匹配的职(执)业资格、专业技术职称证书原件及复印件；</w:t>
      </w:r>
      <w:r>
        <w:rPr>
          <w:rFonts w:hint="eastAsia" w:ascii="仿宋_GB2312" w:hAnsi="仿宋_GB2312" w:eastAsia="仿宋_GB2312" w:cs="仿宋_GB2312"/>
          <w:sz w:val="32"/>
          <w:szCs w:val="32"/>
          <w:lang w:val="en-US" w:eastAsia="zh-CN"/>
        </w:rPr>
        <w:t>⑦</w:t>
      </w:r>
      <w:r>
        <w:rPr>
          <w:rFonts w:hint="eastAsia" w:ascii="仿宋_GB2312" w:hAnsi="仿宋_GB2312" w:eastAsia="仿宋_GB2312" w:cs="仿宋_GB2312"/>
          <w:sz w:val="32"/>
          <w:szCs w:val="32"/>
        </w:rPr>
        <w:t>岗位所需的其他相关证明材料(岗位要求中共党员的需提供党组织关系证明材料、应届生提供盖章版成绩单)。材料请按以上顺序有序放置。</w:t>
      </w:r>
    </w:p>
    <w:p w14:paraId="4D40482C">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应聘者未在规定时间参加资格审查，视为自动放弃。</w:t>
      </w:r>
    </w:p>
    <w:p w14:paraId="6E043A04">
      <w:pPr>
        <w:keepNext w:val="0"/>
        <w:keepLines w:val="0"/>
        <w:pageBreakBefore w:val="0"/>
        <w:shd w:val="clear" w:color="auto" w:fill="FFFFFF"/>
        <w:kinsoku/>
        <w:wordWrap/>
        <w:overflowPunct/>
        <w:topLinePunct w:val="0"/>
        <w:bidi w:val="0"/>
        <w:snapToGrid/>
        <w:spacing w:line="560" w:lineRule="exact"/>
        <w:ind w:firstLine="643" w:firstLineChars="200"/>
        <w:textAlignment w:val="auto"/>
        <w:outlineLvl w:val="1"/>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（三）考试考核</w:t>
      </w:r>
    </w:p>
    <w:p w14:paraId="7AFE9C11">
      <w:pPr>
        <w:keepNext w:val="0"/>
        <w:keepLines w:val="0"/>
        <w:pageBreakBefore w:val="0"/>
        <w:widowControl/>
        <w:shd w:val="clear" w:color="auto" w:fill="FFFFFF"/>
        <w:kinsoku/>
        <w:wordWrap/>
        <w:overflowPunct/>
        <w:topLinePunct w:val="0"/>
        <w:bidi w:val="0"/>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招聘采取笔试、面试方式进行人员甄选，先进行笔试，后进行面试，考试综合成绩=笔试成绩*50%+面试成绩*50%。</w:t>
      </w:r>
    </w:p>
    <w:p w14:paraId="3EDF35F6">
      <w:pPr>
        <w:keepNext w:val="0"/>
        <w:keepLines w:val="0"/>
        <w:pageBreakBefore w:val="0"/>
        <w:widowControl/>
        <w:shd w:val="clear" w:color="auto" w:fill="FFFFFF"/>
        <w:kinsoku/>
        <w:wordWrap/>
        <w:overflowPunct/>
        <w:topLinePunct w:val="0"/>
        <w:bidi w:val="0"/>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笔试采取闭卷方式进行，主要测试应聘者的</w:t>
      </w:r>
      <w:r>
        <w:rPr>
          <w:rFonts w:hint="eastAsia" w:ascii="仿宋_GB2312" w:hAnsi="仿宋_GB2312" w:eastAsia="仿宋_GB2312" w:cs="仿宋_GB2312"/>
          <w:sz w:val="32"/>
          <w:szCs w:val="32"/>
        </w:rPr>
        <w:t>专业能力、知识储备情况等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kern w:val="0"/>
          <w:sz w:val="32"/>
          <w:szCs w:val="32"/>
        </w:rPr>
        <w:t>笔试总分为100分，总时长为2小时，笔</w:t>
      </w:r>
      <w:r>
        <w:rPr>
          <w:rFonts w:hint="eastAsia" w:ascii="仿宋_GB2312" w:hAnsi="仿宋_GB2312" w:eastAsia="仿宋_GB2312" w:cs="仿宋_GB2312"/>
          <w:color w:val="000000"/>
          <w:sz w:val="32"/>
          <w:szCs w:val="32"/>
        </w:rPr>
        <w:t>试成绩原则上不得低于60分，笔试成绩保留小数点后两位，第三位小数按四舍五入法处理。笔试时间地点另行通知。</w:t>
      </w:r>
    </w:p>
    <w:p w14:paraId="4FCC69EC">
      <w:pPr>
        <w:keepNext w:val="0"/>
        <w:keepLines w:val="0"/>
        <w:pageBreakBefore w:val="0"/>
        <w:widowControl/>
        <w:shd w:val="clear" w:color="auto" w:fill="FFFFFF"/>
        <w:kinsoku/>
        <w:wordWrap/>
        <w:overflowPunct/>
        <w:topLinePunct w:val="0"/>
        <w:bidi w:val="0"/>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各岗位根据笔试成绩排名</w:t>
      </w:r>
      <w:r>
        <w:rPr>
          <w:rFonts w:hint="eastAsia" w:ascii="仿宋_GB2312" w:hAnsi="仿宋_GB2312" w:eastAsia="仿宋_GB2312" w:cs="仿宋_GB2312"/>
          <w:sz w:val="32"/>
          <w:szCs w:val="32"/>
        </w:rPr>
        <w:t>按</w:t>
      </w:r>
      <w:r>
        <w:rPr>
          <w:rFonts w:ascii="Times New Roman" w:hAnsi="Times New Roman" w:eastAsia="仿宋_GB2312"/>
          <w:snapToGrid w:val="0"/>
          <w:kern w:val="0"/>
          <w:sz w:val="32"/>
          <w:szCs w:val="24"/>
          <w:highlight w:val="none"/>
        </w:rPr>
        <w:t>笔试成绩不低于60分原则</w:t>
      </w:r>
      <w:r>
        <w:rPr>
          <w:rFonts w:hint="eastAsia" w:ascii="Times New Roman" w:hAnsi="Times New Roman" w:cs="Times New Roman"/>
          <w:snapToGrid w:val="0"/>
          <w:kern w:val="0"/>
          <w:sz w:val="32"/>
          <w:szCs w:val="24"/>
          <w:highlight w:val="none"/>
          <w:lang w:eastAsia="zh-CN"/>
        </w:rPr>
        <w:t>及</w:t>
      </w:r>
      <w:r>
        <w:rPr>
          <w:rFonts w:hint="eastAsia" w:ascii="仿宋_GB2312" w:hAnsi="仿宋_GB2312" w:eastAsia="仿宋_GB2312" w:cs="仿宋_GB2312"/>
          <w:color w:val="000000"/>
          <w:sz w:val="32"/>
          <w:szCs w:val="32"/>
        </w:rPr>
        <w:t>岗位招聘人数1:5的比例进入面试（如低于1:5的比例，则按实际参加面试且不低于1:3的比例进入面试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末位同分者一并进入面试</w:t>
      </w:r>
      <w:r>
        <w:rPr>
          <w:rFonts w:hint="eastAsia" w:ascii="仿宋_GB2312" w:hAnsi="仿宋_GB2312" w:eastAsia="仿宋_GB2312" w:cs="仿宋_GB2312"/>
          <w:color w:val="000000"/>
          <w:sz w:val="32"/>
          <w:szCs w:val="32"/>
        </w:rPr>
        <w:t>）。面试主要考察应聘者综合分析、组织协调、逻辑思维、语言表达、应变能力等。面试时间地点另行通知。</w:t>
      </w:r>
    </w:p>
    <w:p w14:paraId="5D00A256">
      <w:pPr>
        <w:keepNext w:val="0"/>
        <w:keepLines w:val="0"/>
        <w:pageBreakBefore w:val="0"/>
        <w:shd w:val="clear" w:color="auto" w:fill="FFFFFF"/>
        <w:kinsoku/>
        <w:wordWrap/>
        <w:overflowPunct/>
        <w:topLinePunct w:val="0"/>
        <w:bidi w:val="0"/>
        <w:snapToGrid/>
        <w:spacing w:line="560" w:lineRule="exact"/>
        <w:ind w:firstLine="643" w:firstLineChars="200"/>
        <w:textAlignment w:val="auto"/>
        <w:outlineLvl w:val="1"/>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（四）体检考察</w:t>
      </w:r>
    </w:p>
    <w:p w14:paraId="53F6E18E">
      <w:pPr>
        <w:keepNext w:val="0"/>
        <w:keepLines w:val="0"/>
        <w:pageBreakBefore w:val="0"/>
        <w:widowControl/>
        <w:shd w:val="clear" w:color="auto" w:fill="FFFFFF"/>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各岗位应聘者的笔试、面试成绩计算综合成绩，并按综合成绩由高到低进行排名，按1:1比例确定体检与考察人选。体检标准参照《公务员录用体检通用标准》执行，根据医院体检结论确认是否符合岗位要求。体检费用由应聘人员自理，待入职转正后，可按公司程序报销体检费用。对体检合格人员采用等额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背调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背调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要求提供“一证明一报告”（无犯罪证明、征信报告）及在校现实情况表现证明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近亲属情况、是否具有应当回避的情形等情况。</w:t>
      </w:r>
      <w:r>
        <w:rPr>
          <w:rFonts w:hint="eastAsia" w:ascii="仿宋_GB2312" w:hAnsi="仿宋_GB2312" w:eastAsia="仿宋_GB2312" w:cs="仿宋_GB2312"/>
          <w:sz w:val="32"/>
          <w:szCs w:val="32"/>
          <w:lang w:val="en-US" w:eastAsia="zh-CN"/>
        </w:rPr>
        <w:t>并对应聘者进行资格复核。</w:t>
      </w:r>
      <w:bookmarkStart w:id="0" w:name="_GoBack"/>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体检、</w:t>
      </w:r>
      <w:r>
        <w:rPr>
          <w:rFonts w:hint="eastAsia" w:ascii="仿宋_GB2312" w:hAnsi="仿宋_GB2312" w:eastAsia="仿宋_GB2312" w:cs="仿宋_GB2312"/>
          <w:sz w:val="32"/>
          <w:szCs w:val="32"/>
        </w:rPr>
        <w:t>考察自动放弃或不合格等原因产生的缺额，可按应聘者最终成绩由高分到低分根据实际需求递补。</w:t>
      </w:r>
    </w:p>
    <w:bookmarkEnd w:id="0"/>
    <w:p w14:paraId="64B09EA2">
      <w:pPr>
        <w:keepNext w:val="0"/>
        <w:keepLines w:val="0"/>
        <w:pageBreakBefore w:val="0"/>
        <w:shd w:val="clear" w:color="auto" w:fill="FFFFFF"/>
        <w:kinsoku/>
        <w:wordWrap/>
        <w:overflowPunct/>
        <w:topLinePunct w:val="0"/>
        <w:bidi w:val="0"/>
        <w:snapToGrid/>
        <w:spacing w:line="560" w:lineRule="exact"/>
        <w:ind w:firstLine="643" w:firstLineChars="200"/>
        <w:textAlignment w:val="auto"/>
        <w:outlineLvl w:val="1"/>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（五）公示录用</w:t>
      </w:r>
    </w:p>
    <w:p w14:paraId="73CB4DF6">
      <w:pPr>
        <w:keepNext w:val="0"/>
        <w:keepLines w:val="0"/>
        <w:pageBreakBefore w:val="0"/>
        <w:widowControl/>
        <w:shd w:val="clear" w:color="auto" w:fill="FFFFFF"/>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会议研究审定后，对拟录用人员进行公示，公示无异议后，发出录用通知，按照有关规定签订劳动合同，办理入职相关手续。对新入职人员执行试用期，试用期满考核合格后方可转正。因自愿放弃聘用或公示影响聘用的，待研究后再决定是否递补人选。</w:t>
      </w:r>
    </w:p>
    <w:p w14:paraId="5FF80B05">
      <w:pPr>
        <w:keepNext w:val="0"/>
        <w:keepLines w:val="0"/>
        <w:pageBreakBefore w:val="0"/>
        <w:kinsoku/>
        <w:wordWrap/>
        <w:overflowPunct/>
        <w:topLinePunct w:val="0"/>
        <w:bidi w:val="0"/>
        <w:snapToGrid/>
        <w:spacing w:line="560" w:lineRule="exact"/>
        <w:ind w:firstLine="640" w:firstLineChars="200"/>
        <w:textAlignment w:val="auto"/>
        <w:outlineLvl w:val="0"/>
        <w:rPr>
          <w:rFonts w:ascii="黑体" w:hAnsi="黑体" w:eastAsia="黑体"/>
          <w:color w:val="000000"/>
          <w:sz w:val="32"/>
          <w:szCs w:val="32"/>
        </w:rPr>
      </w:pPr>
      <w:r>
        <w:rPr>
          <w:rFonts w:hint="eastAsia" w:ascii="黑体" w:hAnsi="黑体" w:eastAsia="黑体"/>
          <w:color w:val="000000"/>
          <w:sz w:val="32"/>
          <w:szCs w:val="32"/>
          <w:lang w:val="en-US" w:eastAsia="zh-CN"/>
        </w:rPr>
        <w:t>四</w:t>
      </w:r>
      <w:r>
        <w:rPr>
          <w:rFonts w:hint="eastAsia" w:ascii="黑体" w:hAnsi="黑体" w:eastAsia="黑体"/>
          <w:color w:val="000000"/>
          <w:sz w:val="32"/>
          <w:szCs w:val="32"/>
        </w:rPr>
        <w:t>、薪酬待遇</w:t>
      </w:r>
    </w:p>
    <w:p w14:paraId="6CA75B74">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薪酬待遇按照公司薪酬管理有关制度执行。</w:t>
      </w:r>
      <w:r>
        <w:rPr>
          <w:rFonts w:hint="eastAsia" w:ascii="仿宋_GB2312" w:hAnsi="仿宋_GB2312" w:eastAsia="仿宋_GB2312" w:cs="仿宋_GB2312"/>
          <w:sz w:val="32"/>
          <w:szCs w:val="32"/>
        </w:rPr>
        <w:t>享受“六险二金”、工会福利、健康体检等，执行国家和江西省规定的年休假、产假、哺乳假等休假制度，提供员工食堂等。</w:t>
      </w:r>
      <w:r>
        <w:rPr>
          <w:rFonts w:hint="eastAsia" w:ascii="仿宋_GB2312" w:hAnsi="仿宋_GB2312" w:eastAsia="仿宋_GB2312" w:cs="仿宋_GB2312"/>
          <w:color w:val="000000"/>
          <w:sz w:val="32"/>
          <w:szCs w:val="32"/>
        </w:rPr>
        <w:t xml:space="preserve"> </w:t>
      </w:r>
    </w:p>
    <w:p w14:paraId="0083A994">
      <w:pPr>
        <w:keepNext w:val="0"/>
        <w:keepLines w:val="0"/>
        <w:pageBreakBefore w:val="0"/>
        <w:numPr>
          <w:ilvl w:val="0"/>
          <w:numId w:val="0"/>
        </w:numPr>
        <w:kinsoku/>
        <w:wordWrap/>
        <w:overflowPunct/>
        <w:topLinePunct w:val="0"/>
        <w:bidi w:val="0"/>
        <w:snapToGrid/>
        <w:spacing w:line="560" w:lineRule="exact"/>
        <w:ind w:left="0" w:leftChars="0" w:firstLine="645" w:firstLineChars="0"/>
        <w:textAlignment w:val="auto"/>
        <w:outlineLvl w:val="0"/>
        <w:rPr>
          <w:rFonts w:hint="eastAsia" w:ascii="黑体" w:hAnsi="黑体" w:eastAsia="黑体"/>
          <w:color w:val="000000"/>
          <w:sz w:val="32"/>
          <w:szCs w:val="32"/>
        </w:rPr>
      </w:pPr>
      <w:r>
        <w:rPr>
          <w:rFonts w:hint="eastAsia" w:ascii="黑体" w:hAnsi="黑体" w:eastAsia="黑体" w:cs="Times New Roman"/>
          <w:color w:val="000000"/>
          <w:kern w:val="2"/>
          <w:sz w:val="32"/>
          <w:szCs w:val="32"/>
          <w:lang w:val="en-US" w:eastAsia="zh-CN" w:bidi="ar-SA"/>
        </w:rPr>
        <w:t>五、</w:t>
      </w:r>
      <w:r>
        <w:rPr>
          <w:rFonts w:hint="eastAsia" w:ascii="黑体" w:hAnsi="黑体" w:eastAsia="黑体"/>
          <w:color w:val="000000"/>
          <w:sz w:val="32"/>
          <w:szCs w:val="32"/>
        </w:rPr>
        <w:t>其他事项</w:t>
      </w:r>
    </w:p>
    <w:p w14:paraId="5CBB2B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zh-CN" w:eastAsia="zh-CN"/>
        </w:rPr>
        <w:t>本次招聘不收取任何费用，不指定考试参考书和教材，不举办不委托任何机构组织考试辅导培训。</w:t>
      </w:r>
    </w:p>
    <w:p w14:paraId="7DA528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（二）应聘人员报名需通过我司招聘系统完成，且每人限报一个岗位</w:t>
      </w:r>
      <w:r>
        <w:rPr>
          <w:rFonts w:hint="eastAsia" w:ascii="仿宋_GB2312" w:hAnsi="仿宋_GB2312" w:eastAsia="仿宋_GB2312" w:cs="仿宋_GB2312"/>
          <w:sz w:val="32"/>
          <w:szCs w:val="32"/>
        </w:rPr>
        <w:t>。</w:t>
      </w:r>
    </w:p>
    <w:p w14:paraId="7830AD83">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应聘人员报名时务必正确填写常用手机号及电子邮箱，确保通讯畅通。应聘人员收到相关通知后，务必及时登录网站查询招聘相关信息并做出回应。因应聘人员个人原因造成联系不畅的，或者收到通知未及时回应造成后果的，我司不承担任何责任。未通过或未入围的，我司不再另行通知。</w:t>
      </w:r>
    </w:p>
    <w:p w14:paraId="1F25D757">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）应聘人员应遵循国有企业有关任职回避的相关规定并如实填写《诚信承诺书》。领导人员的亲属，不得报考领导人员所任职企业(含所属企业)工作岗位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领导人员是指</w:t>
      </w:r>
      <w:r>
        <w:rPr>
          <w:rFonts w:hint="eastAsia" w:ascii="仿宋_GB2312" w:hAnsi="仿宋_GB2312" w:eastAsia="仿宋_GB2312" w:cs="仿宋_GB2312"/>
          <w:sz w:val="32"/>
          <w:szCs w:val="32"/>
          <w:lang w:val="en-US" w:eastAsia="zh-CN"/>
        </w:rPr>
        <w:t>江投集团、天然气</w:t>
      </w:r>
      <w:r>
        <w:rPr>
          <w:rFonts w:hint="eastAsia" w:ascii="仿宋_GB2312" w:hAnsi="仿宋_GB2312" w:eastAsia="仿宋_GB2312" w:cs="仿宋_GB2312"/>
          <w:sz w:val="32"/>
          <w:szCs w:val="32"/>
        </w:rPr>
        <w:t>集团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江投气服</w:t>
      </w:r>
      <w:r>
        <w:rPr>
          <w:rFonts w:hint="eastAsia" w:ascii="仿宋_GB2312" w:hAnsi="仿宋_GB2312" w:eastAsia="仿宋_GB2312" w:cs="仿宋_GB2312"/>
          <w:sz w:val="32"/>
          <w:szCs w:val="32"/>
        </w:rPr>
        <w:t>领导及组织人事部门负责人、所属企业领导人员。领导人员的亲属是指与领导干部有夫妻关系、直系血亲关系、三代以内旁系血亲及近姻亲关系的人员。凡与报考单位人员之间有夫妻关系、直系血亲关系、三代以内旁系血亲关系以及近姻亲关系的，不得报考同一机关双方直接隶属于同一领导人员的岗位或者有直接上下级领导关系的岗位。如未如实填报，存在欺骗、隐瞒亲属关系的情况，将取消应聘人员考试或录用资格。</w:t>
      </w:r>
    </w:p>
    <w:p w14:paraId="0135B9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应聘者如有咨询事项，可在工作日内（</w:t>
      </w:r>
      <w:r>
        <w:rPr>
          <w:rFonts w:hint="eastAsia" w:ascii="仿宋_GB2312" w:hAnsi="仿宋_GB2312" w:eastAsia="仿宋_GB2312" w:cs="仿宋_GB2312"/>
          <w:sz w:val="32"/>
          <w:szCs w:val="32"/>
          <w:lang w:val="en-US" w:eastAsia="zh-CN"/>
        </w:rPr>
        <w:t>上午</w:t>
      </w:r>
      <w:r>
        <w:rPr>
          <w:rFonts w:hint="eastAsia" w:ascii="仿宋_GB2312" w:hAnsi="仿宋_GB2312" w:eastAsia="仿宋_GB2312" w:cs="仿宋_GB2312"/>
          <w:sz w:val="32"/>
          <w:szCs w:val="32"/>
        </w:rPr>
        <w:t>9:00-12:00、</w:t>
      </w:r>
      <w:r>
        <w:rPr>
          <w:rFonts w:hint="eastAsia" w:ascii="仿宋_GB2312" w:hAnsi="仿宋_GB2312" w:eastAsia="仿宋_GB2312" w:cs="仿宋_GB2312"/>
          <w:sz w:val="32"/>
          <w:szCs w:val="32"/>
          <w:lang w:val="en-US" w:eastAsia="zh-CN"/>
        </w:rPr>
        <w:t>下午</w:t>
      </w:r>
      <w:r>
        <w:rPr>
          <w:rFonts w:hint="eastAsia" w:ascii="仿宋_GB2312" w:hAnsi="仿宋_GB2312" w:eastAsia="仿宋_GB2312" w:cs="仿宋_GB2312"/>
          <w:sz w:val="32"/>
          <w:szCs w:val="32"/>
        </w:rPr>
        <w:t>13:30-17:30）</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天然气集团人力资源部</w:t>
      </w:r>
      <w:r>
        <w:rPr>
          <w:rFonts w:hint="eastAsia" w:ascii="仿宋_GB2312" w:hAnsi="仿宋_GB2312" w:eastAsia="仿宋_GB2312" w:cs="仿宋_GB2312"/>
          <w:sz w:val="32"/>
          <w:szCs w:val="32"/>
          <w:lang w:val="en-US" w:eastAsia="zh-CN"/>
        </w:rPr>
        <w:t>联系，</w:t>
      </w:r>
      <w:r>
        <w:rPr>
          <w:rFonts w:hint="eastAsia" w:ascii="仿宋_GB2312" w:hAnsi="仿宋_GB2312" w:eastAsia="仿宋_GB2312" w:cs="仿宋_GB2312"/>
          <w:sz w:val="32"/>
          <w:szCs w:val="32"/>
        </w:rPr>
        <w:t>电话及联系人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0791-88560765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程女士</w:t>
      </w:r>
    </w:p>
    <w:p w14:paraId="7880EE40">
      <w:pPr>
        <w:spacing w:line="560" w:lineRule="exact"/>
        <w:ind w:firstLine="640" w:firstLineChars="200"/>
        <w:rPr>
          <w:rFonts w:ascii="仿宋_GB2312" w:hAnsi="仿宋_GB2312" w:eastAsia="仿宋_GB2312" w:cs="仿宋_GB2312"/>
          <w:sz w:val="32"/>
          <w:szCs w:val="32"/>
        </w:rPr>
      </w:pPr>
    </w:p>
    <w:p w14:paraId="73D6A4BD">
      <w:pPr>
        <w:widowControl/>
        <w:shd w:val="clear" w:color="auto" w:fill="FFFFFF"/>
        <w:spacing w:line="520" w:lineRule="exact"/>
        <w:rPr>
          <w:rFonts w:ascii="仿宋_GB2312" w:hAnsi="仿宋_GB2312" w:eastAsia="仿宋_GB2312" w:cs="仿宋_GB2312"/>
          <w:sz w:val="32"/>
          <w:szCs w:val="32"/>
        </w:rPr>
      </w:pPr>
    </w:p>
    <w:p w14:paraId="21AD592E">
      <w:pPr>
        <w:pStyle w:val="3"/>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0AA2FDAA">
      <w:pPr>
        <w:pStyle w:val="3"/>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40"/>
        </w:rPr>
        <w:t>江西省天然气集团有限公司</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含江投气服</w:t>
      </w:r>
      <w:r>
        <w:rPr>
          <w:rFonts w:hint="eastAsia" w:ascii="仿宋_GB2312" w:hAnsi="仿宋_GB2312" w:eastAsia="仿宋_GB2312" w:cs="仿宋_GB2312"/>
          <w:sz w:val="32"/>
          <w:szCs w:val="40"/>
        </w:rPr>
        <w:t>党建事务岗</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会计核算岗</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32"/>
        </w:rPr>
        <w:t>2025年面向社会公开招聘岗位需求表</w:t>
      </w:r>
    </w:p>
    <w:p w14:paraId="21B05E43">
      <w:pPr>
        <w:pStyle w:val="3"/>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2.公开招聘报名二维码</w:t>
      </w:r>
    </w:p>
    <w:p w14:paraId="05265A7F">
      <w:pPr>
        <w:pStyle w:val="3"/>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3.公开招聘考生诚信承诺书</w:t>
      </w:r>
    </w:p>
    <w:p w14:paraId="7CEEA12D">
      <w:pPr>
        <w:widowControl/>
        <w:shd w:val="clear" w:color="auto" w:fill="FFFFFF"/>
        <w:spacing w:line="520" w:lineRule="exact"/>
        <w:ind w:firstLine="640" w:firstLineChars="200"/>
        <w:rPr>
          <w:rFonts w:hint="eastAsia" w:ascii="仿宋_GB2312" w:hAnsi="仿宋_GB2312" w:eastAsia="仿宋_GB2312" w:cs="仿宋_GB2312"/>
          <w:sz w:val="32"/>
          <w:szCs w:val="32"/>
        </w:rPr>
      </w:pPr>
    </w:p>
    <w:p w14:paraId="5AE51B8A">
      <w:pPr>
        <w:pStyle w:val="3"/>
        <w:rPr>
          <w:rFonts w:hint="eastAsia" w:ascii="仿宋_GB2312" w:hAnsi="仿宋_GB2312" w:eastAsia="仿宋_GB2312" w:cs="仿宋_GB2312"/>
          <w:sz w:val="32"/>
          <w:szCs w:val="32"/>
        </w:rPr>
      </w:pPr>
    </w:p>
    <w:p w14:paraId="48244E22">
      <w:pPr>
        <w:pStyle w:val="3"/>
        <w:rPr>
          <w:rFonts w:hint="eastAsia" w:ascii="仿宋_GB2312" w:hAnsi="仿宋_GB2312" w:eastAsia="仿宋_GB2312" w:cs="仿宋_GB2312"/>
          <w:sz w:val="32"/>
          <w:szCs w:val="32"/>
        </w:rPr>
      </w:pPr>
    </w:p>
    <w:p w14:paraId="0BD4D05A">
      <w:pPr>
        <w:pStyle w:val="3"/>
        <w:rPr>
          <w:rFonts w:hint="eastAsia" w:ascii="仿宋_GB2312" w:hAnsi="仿宋_GB2312" w:eastAsia="仿宋_GB2312" w:cs="仿宋_GB2312"/>
          <w:sz w:val="32"/>
          <w:szCs w:val="32"/>
        </w:rPr>
      </w:pPr>
    </w:p>
    <w:p w14:paraId="65134B4F">
      <w:pPr>
        <w:pStyle w:val="3"/>
        <w:rPr>
          <w:rFonts w:hint="eastAsia" w:ascii="仿宋_GB2312" w:hAnsi="仿宋_GB2312" w:eastAsia="仿宋_GB2312" w:cs="仿宋_GB2312"/>
          <w:sz w:val="32"/>
          <w:szCs w:val="32"/>
        </w:rPr>
      </w:pPr>
    </w:p>
    <w:p w14:paraId="3820037A">
      <w:pPr>
        <w:pStyle w:val="3"/>
        <w:rPr>
          <w:rFonts w:hint="eastAsia" w:ascii="仿宋_GB2312" w:hAnsi="仿宋_GB2312" w:eastAsia="仿宋_GB2312" w:cs="仿宋_GB2312"/>
          <w:sz w:val="32"/>
          <w:szCs w:val="32"/>
        </w:rPr>
      </w:pPr>
    </w:p>
    <w:p w14:paraId="1E8B098F">
      <w:pPr>
        <w:pStyle w:val="3"/>
        <w:rPr>
          <w:rFonts w:hint="eastAsia" w:ascii="仿宋_GB2312" w:hAnsi="仿宋_GB2312" w:eastAsia="仿宋_GB2312" w:cs="仿宋_GB2312"/>
          <w:sz w:val="32"/>
          <w:szCs w:val="32"/>
        </w:rPr>
      </w:pPr>
    </w:p>
    <w:p w14:paraId="74F29091">
      <w:pPr>
        <w:pStyle w:val="3"/>
        <w:rPr>
          <w:rFonts w:hint="eastAsia" w:ascii="仿宋_GB2312" w:hAnsi="仿宋_GB2312" w:eastAsia="仿宋_GB2312" w:cs="仿宋_GB2312"/>
          <w:sz w:val="32"/>
          <w:szCs w:val="32"/>
        </w:rPr>
      </w:pPr>
    </w:p>
    <w:p w14:paraId="0875CF6C">
      <w:pPr>
        <w:pStyle w:val="3"/>
        <w:rPr>
          <w:rFonts w:hint="eastAsia" w:ascii="仿宋_GB2312" w:hAnsi="仿宋_GB2312" w:eastAsia="仿宋_GB2312" w:cs="仿宋_GB2312"/>
          <w:sz w:val="32"/>
          <w:szCs w:val="32"/>
        </w:rPr>
      </w:pPr>
    </w:p>
    <w:p w14:paraId="03B23652">
      <w:pPr>
        <w:pStyle w:val="3"/>
        <w:rPr>
          <w:rFonts w:hint="eastAsia" w:ascii="仿宋_GB2312" w:hAnsi="仿宋_GB2312" w:eastAsia="仿宋_GB2312" w:cs="仿宋_GB2312"/>
          <w:sz w:val="32"/>
          <w:szCs w:val="32"/>
        </w:rPr>
      </w:pPr>
    </w:p>
    <w:p w14:paraId="3239BACE">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40"/>
        </w:rPr>
        <w:t>江西省天然气集团有限公司</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含江投气服</w:t>
      </w:r>
      <w:r>
        <w:rPr>
          <w:rFonts w:hint="eastAsia" w:ascii="仿宋_GB2312" w:hAnsi="仿宋_GB2312" w:eastAsia="仿宋_GB2312" w:cs="仿宋_GB2312"/>
          <w:sz w:val="32"/>
          <w:szCs w:val="40"/>
        </w:rPr>
        <w:t>党建事务岗</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会计核算岗</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32"/>
        </w:rPr>
        <w:t>2025年面向社会公开招聘岗位需求表</w:t>
      </w:r>
    </w:p>
    <w:p w14:paraId="2DA2522F">
      <w:pPr>
        <w:widowControl/>
        <w:shd w:val="clear" w:color="auto" w:fill="FFFFFF"/>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59264" behindDoc="1" locked="0" layoutInCell="1" allowOverlap="1">
            <wp:simplePos x="0" y="0"/>
            <wp:positionH relativeFrom="column">
              <wp:posOffset>1510665</wp:posOffset>
            </wp:positionH>
            <wp:positionV relativeFrom="paragraph">
              <wp:posOffset>179070</wp:posOffset>
            </wp:positionV>
            <wp:extent cx="2160270" cy="2160270"/>
            <wp:effectExtent l="0" t="0" r="11430" b="11430"/>
            <wp:wrapTight wrapText="bothSides">
              <wp:wrapPolygon>
                <wp:start x="0" y="0"/>
                <wp:lineTo x="0" y="21333"/>
                <wp:lineTo x="21333" y="21333"/>
                <wp:lineTo x="21333" y="0"/>
                <wp:lineTo x="0" y="0"/>
              </wp:wrapPolygon>
            </wp:wrapTight>
            <wp:docPr id="3" name="图片 3" descr="6f7c21c2e9606d932974c62f12ab5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f7c21c2e9606d932974c62f12ab5fa"/>
                    <pic:cNvPicPr>
                      <a:picLocks noChangeAspect="1"/>
                    </pic:cNvPicPr>
                  </pic:nvPicPr>
                  <pic:blipFill>
                    <a:blip r:embed="rId4"/>
                    <a:srcRect/>
                    <a:stretch>
                      <a:fillRect/>
                    </a:stretch>
                  </pic:blipFill>
                  <pic:spPr>
                    <a:xfrm>
                      <a:off x="0" y="0"/>
                      <a:ext cx="2160270" cy="2160270"/>
                    </a:xfrm>
                    <a:prstGeom prst="rect">
                      <a:avLst/>
                    </a:prstGeom>
                  </pic:spPr>
                </pic:pic>
              </a:graphicData>
            </a:graphic>
          </wp:anchor>
        </w:drawing>
      </w:r>
    </w:p>
    <w:p w14:paraId="48364048">
      <w:pPr>
        <w:widowControl/>
        <w:shd w:val="clear" w:color="auto" w:fill="FFFFFF"/>
        <w:spacing w:line="520" w:lineRule="exact"/>
        <w:ind w:firstLine="640" w:firstLineChars="200"/>
        <w:rPr>
          <w:rFonts w:ascii="仿宋_GB2312" w:hAnsi="仿宋_GB2312" w:eastAsia="仿宋_GB2312" w:cs="仿宋_GB2312"/>
          <w:sz w:val="32"/>
          <w:szCs w:val="32"/>
        </w:rPr>
      </w:pPr>
    </w:p>
    <w:p w14:paraId="7B967D65">
      <w:pPr>
        <w:widowControl/>
        <w:shd w:val="clear" w:color="auto" w:fill="FFFFFF"/>
        <w:spacing w:line="520" w:lineRule="exact"/>
        <w:ind w:firstLine="640" w:firstLineChars="200"/>
        <w:rPr>
          <w:rFonts w:ascii="仿宋_GB2312" w:hAnsi="仿宋_GB2312" w:eastAsia="仿宋_GB2312" w:cs="仿宋_GB2312"/>
          <w:sz w:val="32"/>
          <w:szCs w:val="32"/>
        </w:rPr>
      </w:pPr>
    </w:p>
    <w:p w14:paraId="11E9428E">
      <w:pPr>
        <w:widowControl/>
        <w:shd w:val="clear" w:color="auto" w:fill="FFFFFF"/>
        <w:spacing w:line="520" w:lineRule="exact"/>
        <w:ind w:firstLine="640" w:firstLineChars="200"/>
        <w:rPr>
          <w:rFonts w:ascii="仿宋_GB2312" w:hAnsi="仿宋_GB2312" w:eastAsia="仿宋_GB2312" w:cs="仿宋_GB2312"/>
          <w:sz w:val="32"/>
          <w:szCs w:val="32"/>
        </w:rPr>
      </w:pPr>
    </w:p>
    <w:p w14:paraId="6AACB255">
      <w:pPr>
        <w:widowControl/>
        <w:shd w:val="clear" w:color="auto" w:fill="FFFFFF"/>
        <w:spacing w:line="520" w:lineRule="exact"/>
        <w:ind w:firstLine="640" w:firstLineChars="200"/>
        <w:rPr>
          <w:rFonts w:ascii="仿宋_GB2312" w:hAnsi="仿宋_GB2312" w:eastAsia="仿宋_GB2312" w:cs="仿宋_GB2312"/>
          <w:sz w:val="32"/>
          <w:szCs w:val="32"/>
        </w:rPr>
      </w:pPr>
    </w:p>
    <w:p w14:paraId="16D8EE4E">
      <w:pPr>
        <w:widowControl/>
        <w:shd w:val="clear" w:color="auto" w:fill="FFFFFF"/>
        <w:spacing w:line="520" w:lineRule="exact"/>
        <w:ind w:firstLine="640" w:firstLineChars="200"/>
        <w:rPr>
          <w:rFonts w:ascii="仿宋_GB2312" w:hAnsi="仿宋_GB2312" w:eastAsia="仿宋_GB2312" w:cs="仿宋_GB2312"/>
          <w:sz w:val="32"/>
          <w:szCs w:val="32"/>
        </w:rPr>
      </w:pPr>
    </w:p>
    <w:p w14:paraId="44D82187">
      <w:pPr>
        <w:widowControl/>
        <w:shd w:val="clear" w:color="auto" w:fill="FFFFFF"/>
        <w:spacing w:line="520" w:lineRule="exact"/>
        <w:rPr>
          <w:rFonts w:ascii="仿宋_GB2312" w:hAnsi="仿宋_GB2312" w:eastAsia="仿宋_GB2312" w:cs="仿宋_GB2312"/>
          <w:sz w:val="32"/>
          <w:szCs w:val="32"/>
        </w:rPr>
      </w:pPr>
    </w:p>
    <w:p w14:paraId="510AF0D7">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附件2：公开招聘报名二维码</w:t>
      </w:r>
    </w:p>
    <w:p w14:paraId="6620BB1C">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inline distT="0" distB="0" distL="114300" distR="114300">
            <wp:extent cx="2160270" cy="2160270"/>
            <wp:effectExtent l="0" t="0" r="11430" b="11430"/>
            <wp:docPr id="2" name="图片 2" descr="f1e3c6bfdaa4d6eea4ee5962cf6a1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1e3c6bfdaa4d6eea4ee5962cf6a1ca"/>
                    <pic:cNvPicPr>
                      <a:picLocks noChangeAspect="1"/>
                    </pic:cNvPicPr>
                  </pic:nvPicPr>
                  <pic:blipFill>
                    <a:blip r:embed="rId5"/>
                    <a:stretch>
                      <a:fillRect/>
                    </a:stretch>
                  </pic:blipFill>
                  <pic:spPr>
                    <a:xfrm>
                      <a:off x="0" y="0"/>
                      <a:ext cx="2160270" cy="2160270"/>
                    </a:xfrm>
                    <a:prstGeom prst="rect">
                      <a:avLst/>
                    </a:prstGeom>
                  </pic:spPr>
                </pic:pic>
              </a:graphicData>
            </a:graphic>
          </wp:inline>
        </w:drawing>
      </w:r>
    </w:p>
    <w:p w14:paraId="392B67AB">
      <w:pPr>
        <w:autoSpaceDE w:val="0"/>
        <w:autoSpaceDN w:val="0"/>
        <w:adjustRightInd w:val="0"/>
        <w:rPr>
          <w:rFonts w:ascii="仿宋_GB2312" w:eastAsia="仿宋_GB2312" w:cs="仿宋_GB2312"/>
          <w:kern w:val="0"/>
          <w:sz w:val="32"/>
          <w:szCs w:val="32"/>
        </w:rPr>
      </w:pPr>
      <w:r>
        <w:rPr>
          <w:rFonts w:ascii="仿宋_GB2312" w:eastAsia="仿宋_GB2312" w:cs="仿宋_GB2312"/>
          <w:kern w:val="0"/>
          <w:sz w:val="32"/>
          <w:szCs w:val="32"/>
        </w:rPr>
        <w:t xml:space="preserve">PC </w:t>
      </w:r>
      <w:r>
        <w:rPr>
          <w:rFonts w:hint="eastAsia" w:ascii="仿宋_GB2312" w:eastAsia="仿宋_GB2312" w:cs="仿宋_GB2312"/>
          <w:kern w:val="0"/>
          <w:sz w:val="32"/>
          <w:szCs w:val="32"/>
        </w:rPr>
        <w:t>端报名入口：</w:t>
      </w:r>
    </w:p>
    <w:p w14:paraId="430DE94C">
      <w:pPr>
        <w:pStyle w:val="2"/>
        <w:wordWrap w:val="0"/>
        <w:spacing w:line="52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江西省天然气集团有限公司：</w:t>
      </w:r>
      <w:r>
        <w:fldChar w:fldCharType="begin"/>
      </w:r>
      <w:r>
        <w:instrText xml:space="preserve"> HYPERLINK "https://hr.jxic.com/RedseaPlatform/zhaopin/zpChannelQrCode/f6898da6-ea2d-4774-b26a-d3955656d825/officeWebsite.mob" </w:instrText>
      </w:r>
      <w:r>
        <w:fldChar w:fldCharType="separate"/>
      </w:r>
      <w:r>
        <w:rPr>
          <w:rStyle w:val="6"/>
          <w:rFonts w:hint="eastAsia" w:ascii="仿宋_GB2312" w:eastAsia="仿宋_GB2312" w:cs="仿宋_GB2312"/>
          <w:kern w:val="0"/>
          <w:sz w:val="32"/>
          <w:szCs w:val="32"/>
        </w:rPr>
        <w:t>https://hr.jxic.com/RedseaPlatform/zhaopin/zpChannelQrCode/f6898da6-ea2d-4774-b26a-d3955656d825/officeWebsite.mob</w:t>
      </w:r>
      <w:r>
        <w:rPr>
          <w:rStyle w:val="6"/>
          <w:rFonts w:hint="eastAsia" w:ascii="仿宋_GB2312" w:eastAsia="仿宋_GB2312" w:cs="仿宋_GB2312"/>
          <w:kern w:val="0"/>
          <w:sz w:val="32"/>
          <w:szCs w:val="32"/>
        </w:rPr>
        <w:fldChar w:fldCharType="end"/>
      </w:r>
    </w:p>
    <w:p w14:paraId="530739DF">
      <w:pPr>
        <w:pStyle w:val="3"/>
        <w:rPr>
          <w:rFonts w:hint="eastAsia" w:ascii="仿宋_GB2312" w:hAnsi="仿宋_GB2312" w:eastAsia="仿宋_GB2312" w:cs="仿宋_GB2312"/>
          <w:sz w:val="32"/>
          <w:szCs w:val="32"/>
        </w:rPr>
      </w:pPr>
    </w:p>
    <w:p w14:paraId="5D54270B">
      <w:pPr>
        <w:pStyle w:val="3"/>
        <w:rPr>
          <w:rFonts w:hint="eastAsia" w:ascii="仿宋_GB2312" w:hAnsi="仿宋_GB2312" w:eastAsia="仿宋_GB2312" w:cs="仿宋_GB2312"/>
          <w:sz w:val="32"/>
          <w:szCs w:val="32"/>
        </w:rPr>
      </w:pPr>
    </w:p>
    <w:p w14:paraId="7D3ADDB4">
      <w:pPr>
        <w:pStyle w:val="3"/>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：公开招聘考生诚信承诺书</w:t>
      </w:r>
    </w:p>
    <w:p w14:paraId="3725D1F5">
      <w:pPr>
        <w:spacing w:line="560" w:lineRule="exact"/>
        <w:rPr>
          <w:rFonts w:hint="eastAsia" w:ascii="黑体" w:hAnsi="黑体" w:eastAsia="黑体" w:cs="黑体"/>
          <w:kern w:val="0"/>
          <w:sz w:val="32"/>
          <w:szCs w:val="32"/>
        </w:rPr>
      </w:pPr>
      <w:r>
        <w:rPr>
          <w:rFonts w:hint="eastAsia" w:ascii="仿宋_GB2312" w:hAnsi="仿宋_GB2312" w:eastAsia="仿宋_GB2312" w:cs="仿宋_GB2312"/>
          <w:color w:val="000000"/>
          <w:lang w:eastAsia="zh-CN"/>
        </w:rPr>
        <w:drawing>
          <wp:anchor distT="0" distB="0" distL="114300" distR="114300" simplePos="0" relativeHeight="251660288" behindDoc="0" locked="0" layoutInCell="1" allowOverlap="1">
            <wp:simplePos x="0" y="0"/>
            <wp:positionH relativeFrom="column">
              <wp:posOffset>1541780</wp:posOffset>
            </wp:positionH>
            <wp:positionV relativeFrom="paragraph">
              <wp:posOffset>85725</wp:posOffset>
            </wp:positionV>
            <wp:extent cx="2160270" cy="2160270"/>
            <wp:effectExtent l="0" t="0" r="11430" b="11430"/>
            <wp:wrapTopAndBottom/>
            <wp:docPr id="16" name="图片 16" descr="江西天然气集团公开招聘考生诚信承诺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江西天然气集团公开招聘考生诚信承诺书"/>
                    <pic:cNvPicPr>
                      <a:picLocks noChangeAspect="1"/>
                    </pic:cNvPicPr>
                  </pic:nvPicPr>
                  <pic:blipFill>
                    <a:blip r:embed="rId6"/>
                    <a:stretch>
                      <a:fillRect/>
                    </a:stretch>
                  </pic:blipFill>
                  <pic:spPr>
                    <a:xfrm>
                      <a:off x="0" y="0"/>
                      <a:ext cx="2160270" cy="2160270"/>
                    </a:xfrm>
                    <a:prstGeom prst="rect">
                      <a:avLst/>
                    </a:prstGeom>
                  </pic:spPr>
                </pic:pic>
              </a:graphicData>
            </a:graphic>
          </wp:anchor>
        </w:drawing>
      </w:r>
    </w:p>
    <w:p w14:paraId="72197152">
      <w:pPr>
        <w:spacing w:line="560" w:lineRule="exact"/>
        <w:rPr>
          <w:rFonts w:hint="eastAsia" w:ascii="黑体" w:hAnsi="黑体" w:eastAsia="黑体" w:cs="黑体"/>
          <w:kern w:val="0"/>
          <w:sz w:val="32"/>
          <w:szCs w:val="32"/>
        </w:rPr>
      </w:pPr>
    </w:p>
    <w:p w14:paraId="229F7C91">
      <w:pPr>
        <w:spacing w:line="560" w:lineRule="exact"/>
        <w:rPr>
          <w:rFonts w:hint="eastAsia" w:ascii="黑体" w:hAnsi="黑体" w:eastAsia="黑体" w:cs="黑体"/>
          <w:kern w:val="0"/>
          <w:sz w:val="32"/>
          <w:szCs w:val="32"/>
        </w:rPr>
      </w:pPr>
    </w:p>
    <w:p w14:paraId="4B37E7C0">
      <w:pPr>
        <w:spacing w:line="560" w:lineRule="exact"/>
        <w:rPr>
          <w:rFonts w:hint="eastAsia" w:ascii="黑体" w:hAnsi="黑体" w:eastAsia="黑体" w:cs="黑体"/>
          <w:kern w:val="0"/>
          <w:sz w:val="32"/>
          <w:szCs w:val="32"/>
        </w:rPr>
      </w:pPr>
    </w:p>
    <w:p w14:paraId="238668BA">
      <w:pPr>
        <w:spacing w:line="560" w:lineRule="exact"/>
        <w:rPr>
          <w:rFonts w:hint="eastAsia" w:ascii="黑体" w:hAnsi="黑体" w:eastAsia="黑体" w:cs="黑体"/>
          <w:kern w:val="0"/>
          <w:sz w:val="32"/>
          <w:szCs w:val="32"/>
        </w:rPr>
      </w:pPr>
    </w:p>
    <w:p w14:paraId="7A96A436">
      <w:pPr>
        <w:spacing w:line="560" w:lineRule="exact"/>
        <w:rPr>
          <w:rFonts w:hint="eastAsia" w:ascii="黑体" w:hAnsi="黑体" w:eastAsia="黑体" w:cs="黑体"/>
          <w:kern w:val="0"/>
          <w:sz w:val="32"/>
          <w:szCs w:val="32"/>
        </w:rPr>
      </w:pPr>
    </w:p>
    <w:p w14:paraId="6A02F324">
      <w:pPr>
        <w:spacing w:line="560" w:lineRule="exact"/>
        <w:rPr>
          <w:rFonts w:hint="eastAsia" w:ascii="黑体" w:hAnsi="黑体" w:eastAsia="黑体" w:cs="黑体"/>
          <w:kern w:val="0"/>
          <w:sz w:val="32"/>
          <w:szCs w:val="32"/>
        </w:rPr>
      </w:pPr>
    </w:p>
    <w:p w14:paraId="289666D5">
      <w:pPr>
        <w:spacing w:line="560" w:lineRule="exact"/>
        <w:rPr>
          <w:rFonts w:hint="eastAsia" w:ascii="黑体" w:hAnsi="黑体" w:eastAsia="黑体" w:cs="黑体"/>
          <w:kern w:val="0"/>
          <w:sz w:val="32"/>
          <w:szCs w:val="32"/>
        </w:rPr>
      </w:pPr>
    </w:p>
    <w:p w14:paraId="4454589C">
      <w:pPr>
        <w:spacing w:line="560" w:lineRule="exact"/>
        <w:rPr>
          <w:rFonts w:hint="eastAsia" w:ascii="黑体" w:hAnsi="黑体" w:eastAsia="黑体" w:cs="黑体"/>
          <w:kern w:val="0"/>
          <w:sz w:val="32"/>
          <w:szCs w:val="32"/>
        </w:rPr>
      </w:pPr>
    </w:p>
    <w:p w14:paraId="427A4950">
      <w:pPr>
        <w:spacing w:line="560" w:lineRule="exact"/>
        <w:rPr>
          <w:rFonts w:hint="eastAsia" w:ascii="黑体" w:hAnsi="黑体" w:eastAsia="黑体" w:cs="黑体"/>
          <w:kern w:val="0"/>
          <w:sz w:val="32"/>
          <w:szCs w:val="32"/>
        </w:rPr>
      </w:pPr>
    </w:p>
    <w:p w14:paraId="0CD28016">
      <w:pPr>
        <w:spacing w:line="560" w:lineRule="exact"/>
        <w:rPr>
          <w:rFonts w:hint="eastAsia" w:ascii="黑体" w:hAnsi="黑体" w:eastAsia="黑体" w:cs="黑体"/>
          <w:kern w:val="0"/>
          <w:sz w:val="32"/>
          <w:szCs w:val="32"/>
        </w:rPr>
      </w:pPr>
    </w:p>
    <w:p w14:paraId="74713C62">
      <w:pPr>
        <w:spacing w:line="560" w:lineRule="exact"/>
        <w:rPr>
          <w:rFonts w:hint="eastAsia" w:ascii="黑体" w:hAnsi="黑体" w:eastAsia="黑体" w:cs="黑体"/>
          <w:kern w:val="0"/>
          <w:sz w:val="32"/>
          <w:szCs w:val="32"/>
        </w:rPr>
      </w:pPr>
    </w:p>
    <w:p w14:paraId="4321C4A9">
      <w:pPr>
        <w:spacing w:line="560" w:lineRule="exact"/>
        <w:rPr>
          <w:rFonts w:hint="eastAsia" w:ascii="黑体" w:hAnsi="黑体" w:eastAsia="黑体" w:cs="黑体"/>
          <w:kern w:val="0"/>
          <w:sz w:val="32"/>
          <w:szCs w:val="32"/>
        </w:rPr>
      </w:pPr>
    </w:p>
    <w:p w14:paraId="50A15D1C">
      <w:pPr>
        <w:spacing w:line="560" w:lineRule="exact"/>
        <w:rPr>
          <w:rFonts w:hint="eastAsia" w:ascii="黑体" w:hAnsi="黑体" w:eastAsia="黑体" w:cs="黑体"/>
          <w:kern w:val="0"/>
          <w:sz w:val="32"/>
          <w:szCs w:val="32"/>
        </w:rPr>
      </w:pPr>
    </w:p>
    <w:p w14:paraId="026C25CD">
      <w:pPr>
        <w:spacing w:line="560" w:lineRule="exact"/>
        <w:rPr>
          <w:rFonts w:hint="eastAsia" w:ascii="黑体" w:hAnsi="黑体" w:eastAsia="黑体" w:cs="黑体"/>
          <w:kern w:val="0"/>
          <w:sz w:val="32"/>
          <w:szCs w:val="32"/>
        </w:rPr>
      </w:pPr>
    </w:p>
    <w:p w14:paraId="57DD5C6F">
      <w:pPr>
        <w:spacing w:line="560" w:lineRule="exact"/>
        <w:rPr>
          <w:rFonts w:hint="eastAsia" w:ascii="黑体" w:hAnsi="黑体" w:eastAsia="黑体" w:cs="黑体"/>
          <w:kern w:val="0"/>
          <w:sz w:val="32"/>
          <w:szCs w:val="32"/>
        </w:rPr>
      </w:pPr>
    </w:p>
    <w:p w14:paraId="7F0998AF">
      <w:pPr>
        <w:spacing w:line="560" w:lineRule="exact"/>
        <w:rPr>
          <w:rFonts w:hint="eastAsia" w:ascii="黑体" w:hAnsi="黑体" w:eastAsia="黑体" w:cs="黑体"/>
          <w:kern w:val="0"/>
          <w:sz w:val="32"/>
          <w:szCs w:val="32"/>
        </w:rPr>
      </w:pPr>
    </w:p>
    <w:p w14:paraId="3543344E">
      <w:pPr>
        <w:spacing w:line="560" w:lineRule="exact"/>
        <w:rPr>
          <w:rFonts w:hint="eastAsia" w:ascii="黑体" w:hAnsi="黑体" w:eastAsia="黑体" w:cs="黑体"/>
          <w:kern w:val="0"/>
          <w:sz w:val="32"/>
          <w:szCs w:val="32"/>
        </w:rPr>
      </w:pPr>
    </w:p>
    <w:p w14:paraId="5DBD3B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B71B0"/>
    <w:rsid w:val="02A429BD"/>
    <w:rsid w:val="095F4AC7"/>
    <w:rsid w:val="1CC2176A"/>
    <w:rsid w:val="2A075588"/>
    <w:rsid w:val="3C292943"/>
    <w:rsid w:val="4241307A"/>
    <w:rsid w:val="5AFC7E15"/>
    <w:rsid w:val="628B7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jc w:val="left"/>
    </w:pPr>
    <w:rPr>
      <w:rFonts w:ascii="Times New Roman" w:hAnsi="Times New Roman"/>
      <w:szCs w:val="24"/>
    </w:rPr>
  </w:style>
  <w:style w:type="paragraph" w:styleId="3">
    <w:name w:val="Plain Text"/>
    <w:basedOn w:val="1"/>
    <w:qFormat/>
    <w:uiPriority w:val="0"/>
    <w:rPr>
      <w:rFonts w:ascii="宋体" w:hAnsi="Courier New"/>
    </w:rPr>
  </w:style>
  <w:style w:type="character" w:styleId="6">
    <w:name w:val="Hyperlink"/>
    <w:basedOn w:val="5"/>
    <w:unhideWhenUsed/>
    <w:qFormat/>
    <w:uiPriority w:val="99"/>
    <w:rPr>
      <w:color w:val="0000FF"/>
      <w:u w:val="single"/>
    </w:rPr>
  </w:style>
  <w:style w:type="paragraph" w:customStyle="1" w:styleId="7">
    <w:name w:val="toa heading1"/>
    <w:basedOn w:val="1"/>
    <w:next w:val="1"/>
    <w:qFormat/>
    <w:uiPriority w:val="0"/>
    <w:rPr>
      <w:rFonts w:ascii="Arial" w:hAnsi="Arial"/>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2025-06-02T02:05:00Z</dcterms:created>
  <dc:creator>c</dc:creator>
  <cp:lastModifiedBy>c</cp:lastModifiedBy>
  <dcterms:modified xsi:type="dcterms:W3CDTF">2025-06-02T02:32:09Z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C9614BA1E3E941BF8700E9A8918B8490_11</vt:lpwstr>
  </property>
  <property fmtid="{D5CDD505-2E9C-101B-9397-08002B2CF9AE}" pid="4" name="KSOTemplateDocerSaveRecord">
    <vt:lpwstr>eyJoZGlkIjoiZTQ3YjBjNmQ0NTBiZDVkNTI0NmMzMzlhOWZhYjUxMDEiLCJ1c2VySWQiOiIxODAyNzI1NCJ9</vt:lpwstr>
  </property>
</Properties>
</file>