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EA9" w:rsidRPr="0049679B" w:rsidRDefault="00A151BA">
      <w:pPr>
        <w:rPr>
          <w:rFonts w:ascii="仿宋_GB2312" w:eastAsia="仿宋_GB2312"/>
          <w:bCs/>
          <w:sz w:val="28"/>
          <w:szCs w:val="28"/>
        </w:rPr>
      </w:pPr>
      <w:r w:rsidRPr="0049679B">
        <w:rPr>
          <w:rFonts w:ascii="仿宋_GB2312" w:eastAsia="仿宋_GB2312" w:hint="eastAsia"/>
          <w:bCs/>
          <w:sz w:val="28"/>
          <w:szCs w:val="28"/>
        </w:rPr>
        <w:t>附件3：</w:t>
      </w:r>
    </w:p>
    <w:p w:rsidR="00E64EA9" w:rsidRPr="0049679B" w:rsidRDefault="00A151BA">
      <w:pPr>
        <w:jc w:val="center"/>
        <w:rPr>
          <w:rFonts w:ascii="黑体" w:eastAsia="黑体" w:hAnsi="黑体"/>
          <w:bCs/>
          <w:spacing w:val="-4"/>
          <w:sz w:val="24"/>
          <w:szCs w:val="24"/>
        </w:rPr>
      </w:pPr>
      <w:r w:rsidRPr="0049679B">
        <w:rPr>
          <w:rFonts w:ascii="黑体" w:eastAsia="黑体" w:hAnsi="黑体" w:hint="eastAsia"/>
          <w:bCs/>
          <w:spacing w:val="-4"/>
          <w:sz w:val="24"/>
          <w:szCs w:val="24"/>
        </w:rPr>
        <w:t>2025年泰兴市新源农产品加工投资发展有限公司公开招聘工作人员专业参考目录</w:t>
      </w:r>
    </w:p>
    <w:p w:rsidR="00E64EA9" w:rsidRDefault="00E64EA9">
      <w:pPr>
        <w:jc w:val="center"/>
        <w:rPr>
          <w:b/>
          <w:bCs/>
          <w:sz w:val="22"/>
          <w:szCs w:val="24"/>
        </w:rPr>
      </w:pPr>
    </w:p>
    <w:tbl>
      <w:tblPr>
        <w:tblW w:w="84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68"/>
        <w:gridCol w:w="1985"/>
        <w:gridCol w:w="2611"/>
        <w:gridCol w:w="2600"/>
      </w:tblGrid>
      <w:tr w:rsidR="00E64EA9" w:rsidTr="00941072">
        <w:trPr>
          <w:trHeight w:val="1870"/>
          <w:jc w:val="center"/>
        </w:trPr>
        <w:tc>
          <w:tcPr>
            <w:tcW w:w="1268" w:type="dxa"/>
            <w:vAlign w:val="center"/>
          </w:tcPr>
          <w:p w:rsidR="00E64EA9" w:rsidRPr="00FF360B" w:rsidRDefault="00A151BA">
            <w:pPr>
              <w:jc w:val="center"/>
              <w:rPr>
                <w:rFonts w:ascii="Times New Roman" w:eastAsia="黑体" w:hAnsi="Times New Roman"/>
                <w:color w:val="000000"/>
                <w:szCs w:val="21"/>
              </w:rPr>
            </w:pPr>
            <w:r w:rsidRPr="00FF360B">
              <w:rPr>
                <w:rFonts w:ascii="Times New Roman" w:eastAsia="黑体" w:hAnsi="Times New Roman"/>
                <w:color w:val="000000"/>
                <w:szCs w:val="21"/>
              </w:rPr>
              <w:t>序号</w:t>
            </w:r>
          </w:p>
        </w:tc>
        <w:tc>
          <w:tcPr>
            <w:tcW w:w="1985" w:type="dxa"/>
          </w:tcPr>
          <w:p w:rsidR="00FF360B" w:rsidRDefault="002F388A" w:rsidP="00D21F40">
            <w:pPr>
              <w:rPr>
                <w:rFonts w:ascii="Times New Roman" w:eastAsia="黑体" w:hAnsi="Times New Roman" w:hint="eastAsia"/>
                <w:color w:val="000000"/>
                <w:szCs w:val="21"/>
              </w:rPr>
            </w:pPr>
            <w:r w:rsidRPr="002F388A">
              <w:rPr>
                <w:rFonts w:ascii="宋体" w:hAnsi="宋体" w:cs="宋体"/>
                <w:kern w:val="0"/>
                <w:sz w:val="24"/>
                <w:szCs w:val="24"/>
              </w:rPr>
              <w:pict>
                <v:group id="_x0000_s1026" style="position:absolute;left:0;text-align:left;margin-left:-4.65pt;margin-top:-.9pt;width:98.4pt;height:93.6pt;rotation:180;z-index:251658240;mso-position-horizontal-relative:text;mso-position-vertical-relative:text" coordorigin="-103" coordsize="420,1980" o:gfxdata="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cjbgdcAAAAKAQAADwAA&#10;AAAAAAABACAAAAAiAAAAZHJzL2Rvd25yZXYueG1sUEsBAhQAFAAAAAgAh07iQM7ErWCJAgAAKQcA&#10;AA4AAAAAAAAAAQAgAAAAJgEAAGRycy9lMm9Eb2MueG1sUEsFBgAAAAAGAAYAWQEAACEGAAAAAA==&#10;">
                  <v:line id="_x0000_s1027" style="position:absolute" from="-103,0" to="317,99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strokeweight=".5pt"/>
                  <v:line id="_x0000_s1028" style="position:absolute" from="-103,0" to="317,198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strokeweight=".5pt"/>
                </v:group>
              </w:pict>
            </w:r>
            <w:r w:rsidR="00124F42">
              <w:rPr>
                <w:rFonts w:ascii="Times New Roman" w:eastAsia="黑体" w:hAnsi="Times New Roman" w:hint="eastAsia"/>
                <w:color w:val="000000"/>
                <w:szCs w:val="21"/>
              </w:rPr>
              <w:t xml:space="preserve">     </w:t>
            </w:r>
            <w:r w:rsidR="00FF360B">
              <w:rPr>
                <w:rFonts w:ascii="Times New Roman" w:eastAsia="黑体" w:hAnsi="Times New Roman" w:hint="eastAsia"/>
                <w:color w:val="000000"/>
                <w:szCs w:val="21"/>
              </w:rPr>
              <w:t xml:space="preserve">  </w:t>
            </w:r>
          </w:p>
          <w:p w:rsidR="00E64EA9" w:rsidRDefault="00124F42" w:rsidP="00FF360B">
            <w:pPr>
              <w:ind w:firstLineChars="350" w:firstLine="735"/>
              <w:rPr>
                <w:rFonts w:ascii="Times New Roman" w:eastAsia="黑体" w:hAnsi="Times New Roman"/>
                <w:color w:val="000000"/>
                <w:szCs w:val="21"/>
              </w:rPr>
            </w:pPr>
            <w:r>
              <w:rPr>
                <w:rFonts w:ascii="Times New Roman" w:eastAsia="黑体" w:hAnsi="Times New Roman" w:hint="eastAsia"/>
                <w:color w:val="000000"/>
                <w:szCs w:val="21"/>
              </w:rPr>
              <w:t>学历层次</w:t>
            </w:r>
          </w:p>
          <w:p w:rsidR="00124F42" w:rsidRDefault="00124F42" w:rsidP="00D21F40">
            <w:pPr>
              <w:rPr>
                <w:rFonts w:ascii="Times New Roman" w:eastAsia="黑体" w:hAnsi="Times New Roman"/>
                <w:color w:val="000000"/>
                <w:szCs w:val="21"/>
              </w:rPr>
            </w:pPr>
            <w:r>
              <w:rPr>
                <w:rFonts w:ascii="Times New Roman" w:eastAsia="黑体" w:hAnsi="Times New Roman" w:hint="eastAsia"/>
                <w:color w:val="000000"/>
                <w:szCs w:val="21"/>
              </w:rPr>
              <w:t>专业</w:t>
            </w:r>
          </w:p>
          <w:p w:rsidR="00124F42" w:rsidRDefault="00124F42" w:rsidP="00D21F40">
            <w:pPr>
              <w:rPr>
                <w:rFonts w:ascii="Times New Roman" w:eastAsia="黑体" w:hAnsi="Times New Roman" w:hint="eastAsia"/>
                <w:color w:val="000000"/>
                <w:szCs w:val="21"/>
              </w:rPr>
            </w:pPr>
          </w:p>
          <w:p w:rsidR="00FF360B" w:rsidRDefault="00FF360B" w:rsidP="00FF360B">
            <w:pPr>
              <w:spacing w:line="240" w:lineRule="exact"/>
              <w:rPr>
                <w:rFonts w:ascii="Times New Roman" w:eastAsia="黑体" w:hAnsi="Times New Roman"/>
                <w:color w:val="000000"/>
                <w:szCs w:val="21"/>
              </w:rPr>
            </w:pPr>
          </w:p>
          <w:p w:rsidR="00124F42" w:rsidRPr="00A151BA" w:rsidRDefault="00124F42" w:rsidP="00FF360B">
            <w:pPr>
              <w:spacing w:line="240" w:lineRule="exact"/>
              <w:rPr>
                <w:rFonts w:ascii="Times New Roman" w:eastAsia="黑体" w:hAnsi="Times New Roman"/>
                <w:color w:val="000000"/>
                <w:szCs w:val="21"/>
              </w:rPr>
            </w:pPr>
            <w:r>
              <w:rPr>
                <w:rFonts w:ascii="Times New Roman" w:eastAsia="黑体" w:hAnsi="Times New Roman" w:hint="eastAsia"/>
                <w:color w:val="000000"/>
                <w:szCs w:val="21"/>
              </w:rPr>
              <w:t>专业大类</w:t>
            </w:r>
          </w:p>
        </w:tc>
        <w:tc>
          <w:tcPr>
            <w:tcW w:w="2611" w:type="dxa"/>
            <w:vAlign w:val="center"/>
          </w:tcPr>
          <w:p w:rsidR="00E64EA9" w:rsidRPr="00FF360B" w:rsidRDefault="00A151BA" w:rsidP="00124F42">
            <w:pPr>
              <w:jc w:val="center"/>
              <w:rPr>
                <w:rFonts w:ascii="Times New Roman" w:hAnsi="Times New Roman"/>
                <w:color w:val="000000"/>
                <w:szCs w:val="21"/>
              </w:rPr>
            </w:pPr>
            <w:r w:rsidRPr="00FF360B">
              <w:rPr>
                <w:rFonts w:ascii="Times New Roman" w:eastAsia="黑体" w:hAnsi="Times New Roman"/>
                <w:color w:val="000000"/>
                <w:szCs w:val="21"/>
              </w:rPr>
              <w:t>研究生</w:t>
            </w:r>
          </w:p>
        </w:tc>
        <w:tc>
          <w:tcPr>
            <w:tcW w:w="2600" w:type="dxa"/>
            <w:vAlign w:val="center"/>
          </w:tcPr>
          <w:p w:rsidR="00E64EA9" w:rsidRPr="00FF360B" w:rsidRDefault="00A151BA">
            <w:pPr>
              <w:jc w:val="center"/>
              <w:rPr>
                <w:rFonts w:ascii="Times New Roman" w:hAnsi="Times New Roman"/>
                <w:color w:val="000000"/>
                <w:szCs w:val="21"/>
              </w:rPr>
            </w:pPr>
            <w:r w:rsidRPr="00FF360B">
              <w:rPr>
                <w:rFonts w:ascii="Times New Roman" w:eastAsia="黑体" w:hAnsi="Times New Roman"/>
                <w:color w:val="000000"/>
                <w:szCs w:val="21"/>
              </w:rPr>
              <w:t>本科</w:t>
            </w:r>
          </w:p>
        </w:tc>
      </w:tr>
      <w:tr w:rsidR="00E64EA9" w:rsidTr="00941072">
        <w:trPr>
          <w:jc w:val="center"/>
        </w:trPr>
        <w:tc>
          <w:tcPr>
            <w:tcW w:w="1268" w:type="dxa"/>
            <w:vAlign w:val="center"/>
          </w:tcPr>
          <w:p w:rsidR="00E64EA9" w:rsidRPr="00964F54" w:rsidRDefault="00A151BA" w:rsidP="00964F54">
            <w:pPr>
              <w:jc w:val="center"/>
              <w:rPr>
                <w:rFonts w:ascii="Times New Roman" w:eastAsia="黑体" w:hAnsi="Times New Roman"/>
                <w:color w:val="000000"/>
                <w:szCs w:val="21"/>
              </w:rPr>
            </w:pPr>
            <w:r w:rsidRPr="00964F54">
              <w:rPr>
                <w:rFonts w:ascii="Times New Roman" w:eastAsia="黑体" w:hAnsi="Times New Roman" w:hint="eastAsia"/>
                <w:color w:val="000000"/>
                <w:szCs w:val="21"/>
              </w:rPr>
              <w:t>1</w:t>
            </w:r>
          </w:p>
        </w:tc>
        <w:tc>
          <w:tcPr>
            <w:tcW w:w="1985" w:type="dxa"/>
            <w:vAlign w:val="center"/>
          </w:tcPr>
          <w:p w:rsidR="00E64EA9" w:rsidRPr="00964F54" w:rsidRDefault="00A151BA" w:rsidP="00964F54">
            <w:pPr>
              <w:jc w:val="center"/>
              <w:rPr>
                <w:rFonts w:ascii="Times New Roman" w:eastAsia="黑体" w:hAnsi="Times New Roman"/>
                <w:color w:val="000000"/>
                <w:szCs w:val="21"/>
              </w:rPr>
            </w:pPr>
            <w:r w:rsidRPr="00964F54">
              <w:rPr>
                <w:rFonts w:ascii="Times New Roman" w:eastAsia="黑体" w:hAnsi="Times New Roman"/>
                <w:color w:val="000000"/>
                <w:szCs w:val="21"/>
              </w:rPr>
              <w:t>经济类</w:t>
            </w:r>
          </w:p>
        </w:tc>
        <w:tc>
          <w:tcPr>
            <w:tcW w:w="2611" w:type="dxa"/>
            <w:vAlign w:val="center"/>
          </w:tcPr>
          <w:p w:rsidR="00E64EA9" w:rsidRPr="00442B55" w:rsidRDefault="00A151BA" w:rsidP="00442B55">
            <w:pPr>
              <w:rPr>
                <w:rFonts w:ascii="Times New Roman" w:hAnsi="Times New Roman"/>
                <w:color w:val="000000"/>
                <w:sz w:val="18"/>
                <w:szCs w:val="18"/>
              </w:rPr>
            </w:pPr>
            <w:r w:rsidRPr="00442B55">
              <w:rPr>
                <w:rFonts w:ascii="Times New Roman" w:hAnsi="Times New Roman" w:hint="eastAsia"/>
                <w:color w:val="000000"/>
                <w:sz w:val="18"/>
                <w:szCs w:val="18"/>
              </w:rPr>
              <w:t>财政学（含税收学），税务，金融学（含保险学），金融，保险，资产评估，审计，会计，会计学，金融学，会计与金融</w:t>
            </w:r>
          </w:p>
        </w:tc>
        <w:tc>
          <w:tcPr>
            <w:tcW w:w="2600" w:type="dxa"/>
            <w:vAlign w:val="center"/>
          </w:tcPr>
          <w:p w:rsidR="00E64EA9" w:rsidRPr="00442B55" w:rsidRDefault="00A151BA" w:rsidP="00442B55">
            <w:pPr>
              <w:rPr>
                <w:rFonts w:ascii="Times New Roman" w:hAnsi="Times New Roman"/>
                <w:color w:val="000000"/>
                <w:sz w:val="18"/>
                <w:szCs w:val="18"/>
              </w:rPr>
            </w:pPr>
            <w:r w:rsidRPr="00442B55">
              <w:rPr>
                <w:rFonts w:ascii="Times New Roman" w:hAnsi="Times New Roman" w:hint="eastAsia"/>
                <w:color w:val="000000"/>
                <w:sz w:val="18"/>
                <w:szCs w:val="18"/>
              </w:rPr>
              <w:t>财政学，金融学，保险，税务，投资学，保险学，金融数学，经济与金融，资产评估，金融管理，金融保险，金融，税收学，财务管理，会计，会计学，经济与金融，大数据与财务管理，大数据与审计，审计学，精算学，计算金融</w:t>
            </w:r>
          </w:p>
        </w:tc>
      </w:tr>
      <w:tr w:rsidR="00E64EA9" w:rsidTr="00941072">
        <w:trPr>
          <w:jc w:val="center"/>
        </w:trPr>
        <w:tc>
          <w:tcPr>
            <w:tcW w:w="1268" w:type="dxa"/>
            <w:vAlign w:val="center"/>
          </w:tcPr>
          <w:p w:rsidR="00E64EA9" w:rsidRPr="00964F54" w:rsidRDefault="00A151BA" w:rsidP="00964F54">
            <w:pPr>
              <w:jc w:val="center"/>
              <w:rPr>
                <w:rFonts w:ascii="Times New Roman" w:eastAsia="黑体" w:hAnsi="Times New Roman"/>
                <w:color w:val="000000"/>
                <w:szCs w:val="21"/>
              </w:rPr>
            </w:pPr>
            <w:r w:rsidRPr="00964F54">
              <w:rPr>
                <w:rFonts w:ascii="Times New Roman" w:eastAsia="黑体" w:hAnsi="Times New Roman" w:hint="eastAsia"/>
                <w:color w:val="000000"/>
                <w:szCs w:val="21"/>
              </w:rPr>
              <w:t>2</w:t>
            </w:r>
          </w:p>
        </w:tc>
        <w:tc>
          <w:tcPr>
            <w:tcW w:w="1985" w:type="dxa"/>
            <w:vAlign w:val="center"/>
          </w:tcPr>
          <w:p w:rsidR="00E64EA9" w:rsidRPr="00964F54" w:rsidRDefault="00A151BA" w:rsidP="00964F54">
            <w:pPr>
              <w:jc w:val="center"/>
              <w:rPr>
                <w:rFonts w:ascii="Times New Roman" w:eastAsia="黑体" w:hAnsi="Times New Roman"/>
                <w:color w:val="000000"/>
                <w:szCs w:val="21"/>
              </w:rPr>
            </w:pPr>
            <w:r w:rsidRPr="00964F54">
              <w:rPr>
                <w:rFonts w:ascii="Times New Roman" w:eastAsia="黑体" w:hAnsi="Times New Roman"/>
                <w:color w:val="000000"/>
                <w:szCs w:val="21"/>
              </w:rPr>
              <w:t>财务财会类</w:t>
            </w:r>
          </w:p>
        </w:tc>
        <w:tc>
          <w:tcPr>
            <w:tcW w:w="2611" w:type="dxa"/>
            <w:vAlign w:val="center"/>
          </w:tcPr>
          <w:p w:rsidR="00E64EA9" w:rsidRPr="00442B55" w:rsidRDefault="00A151BA" w:rsidP="00442B55">
            <w:pPr>
              <w:rPr>
                <w:rFonts w:ascii="Times New Roman" w:hAnsi="Times New Roman"/>
                <w:color w:val="000000"/>
                <w:sz w:val="18"/>
                <w:szCs w:val="18"/>
              </w:rPr>
            </w:pPr>
            <w:r w:rsidRPr="00442B55">
              <w:rPr>
                <w:rFonts w:ascii="Times New Roman" w:hAnsi="Times New Roman" w:hint="eastAsia"/>
                <w:color w:val="000000"/>
                <w:sz w:val="18"/>
                <w:szCs w:val="18"/>
              </w:rPr>
              <w:t>会计学，财政学（含税收学），税务，会计，会计硕士，金融，金融硕士，金融学，审计，工商管理，资产评估，企业管理，工商管理学，会计与金融，技术经济及管理，保险</w:t>
            </w:r>
          </w:p>
        </w:tc>
        <w:tc>
          <w:tcPr>
            <w:tcW w:w="2600" w:type="dxa"/>
            <w:vAlign w:val="center"/>
          </w:tcPr>
          <w:p w:rsidR="00E64EA9" w:rsidRPr="00442B55" w:rsidRDefault="00A151BA" w:rsidP="00442B55">
            <w:pPr>
              <w:rPr>
                <w:rFonts w:ascii="Times New Roman" w:hAnsi="Times New Roman"/>
                <w:color w:val="000000"/>
                <w:sz w:val="18"/>
                <w:szCs w:val="18"/>
              </w:rPr>
            </w:pPr>
            <w:r w:rsidRPr="00442B55">
              <w:rPr>
                <w:rFonts w:ascii="Times New Roman" w:hAnsi="Times New Roman" w:hint="eastAsia"/>
                <w:color w:val="000000"/>
                <w:sz w:val="18"/>
                <w:szCs w:val="18"/>
              </w:rPr>
              <w:t>财政学，金融学，会计学，财务管理，会计信息技术，财务会计与审计，国际会计，财务会计教育，法学（法务会计），审计学，审计学（</w:t>
            </w:r>
            <w:r w:rsidRPr="00442B55">
              <w:rPr>
                <w:rFonts w:ascii="Times New Roman" w:hAnsi="Times New Roman" w:hint="eastAsia"/>
                <w:color w:val="000000"/>
                <w:sz w:val="18"/>
                <w:szCs w:val="18"/>
              </w:rPr>
              <w:t>ACCA</w:t>
            </w:r>
            <w:r w:rsidRPr="00442B55">
              <w:rPr>
                <w:rFonts w:ascii="Times New Roman" w:hAnsi="Times New Roman" w:hint="eastAsia"/>
                <w:color w:val="000000"/>
                <w:sz w:val="18"/>
                <w:szCs w:val="18"/>
              </w:rPr>
              <w:t>方向），会计，金融工程，保险学，经济学，税收学，经济与金融，工商管理，资产评估，保险，大数据与财务管理，大数据与会计，大数据与审计，金融数学，税务，金融科技，经济统计学，国际税收，计算金融，财税，金融</w:t>
            </w:r>
          </w:p>
        </w:tc>
      </w:tr>
      <w:tr w:rsidR="00E64EA9" w:rsidTr="00941072">
        <w:trPr>
          <w:jc w:val="center"/>
        </w:trPr>
        <w:tc>
          <w:tcPr>
            <w:tcW w:w="1268" w:type="dxa"/>
            <w:vAlign w:val="center"/>
          </w:tcPr>
          <w:p w:rsidR="00E64EA9" w:rsidRPr="00964F54" w:rsidRDefault="00A151BA" w:rsidP="00964F54">
            <w:pPr>
              <w:jc w:val="center"/>
              <w:rPr>
                <w:rFonts w:ascii="Times New Roman" w:eastAsia="黑体" w:hAnsi="Times New Roman"/>
                <w:color w:val="000000"/>
                <w:szCs w:val="21"/>
              </w:rPr>
            </w:pPr>
            <w:r w:rsidRPr="00964F54">
              <w:rPr>
                <w:rFonts w:ascii="Times New Roman" w:eastAsia="黑体" w:hAnsi="Times New Roman" w:hint="eastAsia"/>
                <w:color w:val="000000"/>
                <w:szCs w:val="21"/>
              </w:rPr>
              <w:t>3</w:t>
            </w:r>
          </w:p>
        </w:tc>
        <w:tc>
          <w:tcPr>
            <w:tcW w:w="1985" w:type="dxa"/>
            <w:shd w:val="clear" w:color="auto" w:fill="auto"/>
            <w:vAlign w:val="center"/>
          </w:tcPr>
          <w:p w:rsidR="00E64EA9" w:rsidRPr="00964F54" w:rsidRDefault="00A151BA" w:rsidP="00964F54">
            <w:pPr>
              <w:jc w:val="center"/>
              <w:rPr>
                <w:rFonts w:ascii="Times New Roman" w:eastAsia="黑体" w:hAnsi="Times New Roman"/>
                <w:color w:val="000000"/>
                <w:szCs w:val="21"/>
              </w:rPr>
            </w:pPr>
            <w:r w:rsidRPr="00964F54">
              <w:rPr>
                <w:rFonts w:ascii="Times New Roman" w:eastAsia="黑体" w:hAnsi="Times New Roman" w:hint="eastAsia"/>
                <w:color w:val="000000"/>
                <w:szCs w:val="21"/>
              </w:rPr>
              <w:t>审计类</w:t>
            </w:r>
          </w:p>
        </w:tc>
        <w:tc>
          <w:tcPr>
            <w:tcW w:w="2611" w:type="dxa"/>
            <w:shd w:val="clear" w:color="auto" w:fill="auto"/>
            <w:vAlign w:val="center"/>
          </w:tcPr>
          <w:p w:rsidR="00E64EA9" w:rsidRPr="00442B55" w:rsidRDefault="00A151BA" w:rsidP="00442B55">
            <w:pPr>
              <w:rPr>
                <w:rFonts w:ascii="Times New Roman" w:hAnsi="Times New Roman"/>
                <w:color w:val="000000"/>
                <w:sz w:val="18"/>
                <w:szCs w:val="18"/>
              </w:rPr>
            </w:pPr>
            <w:r w:rsidRPr="00442B55">
              <w:rPr>
                <w:rFonts w:ascii="Times New Roman" w:hAnsi="Times New Roman" w:hint="eastAsia"/>
                <w:color w:val="000000"/>
                <w:sz w:val="18"/>
                <w:szCs w:val="18"/>
              </w:rPr>
              <w:t>审计，审计学</w:t>
            </w:r>
          </w:p>
        </w:tc>
        <w:tc>
          <w:tcPr>
            <w:tcW w:w="2600" w:type="dxa"/>
            <w:shd w:val="clear" w:color="auto" w:fill="auto"/>
            <w:vAlign w:val="center"/>
          </w:tcPr>
          <w:p w:rsidR="00E64EA9" w:rsidRPr="00442B55" w:rsidRDefault="00A151BA" w:rsidP="00442B55">
            <w:pPr>
              <w:rPr>
                <w:rFonts w:ascii="Times New Roman" w:hAnsi="Times New Roman"/>
                <w:color w:val="000000"/>
                <w:sz w:val="18"/>
                <w:szCs w:val="18"/>
              </w:rPr>
            </w:pPr>
            <w:r w:rsidRPr="00442B55">
              <w:rPr>
                <w:rFonts w:ascii="Times New Roman" w:hAnsi="Times New Roman" w:hint="eastAsia"/>
                <w:color w:val="000000"/>
                <w:sz w:val="18"/>
                <w:szCs w:val="18"/>
              </w:rPr>
              <w:t>审计学，财务会计与审计，审计学（</w:t>
            </w:r>
            <w:r w:rsidRPr="00442B55">
              <w:rPr>
                <w:rFonts w:ascii="Times New Roman" w:hAnsi="Times New Roman" w:hint="eastAsia"/>
                <w:color w:val="000000"/>
                <w:sz w:val="18"/>
                <w:szCs w:val="18"/>
              </w:rPr>
              <w:t>ACCA</w:t>
            </w:r>
            <w:r w:rsidRPr="00442B55">
              <w:rPr>
                <w:rFonts w:ascii="Times New Roman" w:hAnsi="Times New Roman" w:hint="eastAsia"/>
                <w:color w:val="000000"/>
                <w:sz w:val="18"/>
                <w:szCs w:val="18"/>
              </w:rPr>
              <w:t>方向），大数据与审计，工程审计</w:t>
            </w:r>
          </w:p>
        </w:tc>
      </w:tr>
      <w:tr w:rsidR="00E64EA9" w:rsidTr="00941072">
        <w:trPr>
          <w:jc w:val="center"/>
        </w:trPr>
        <w:tc>
          <w:tcPr>
            <w:tcW w:w="1268" w:type="dxa"/>
            <w:vAlign w:val="center"/>
          </w:tcPr>
          <w:p w:rsidR="00E64EA9" w:rsidRPr="00964F54" w:rsidRDefault="00A151BA" w:rsidP="00964F54">
            <w:pPr>
              <w:jc w:val="center"/>
              <w:rPr>
                <w:rFonts w:ascii="Times New Roman" w:eastAsia="黑体" w:hAnsi="Times New Roman"/>
                <w:color w:val="000000"/>
                <w:szCs w:val="21"/>
              </w:rPr>
            </w:pPr>
            <w:r w:rsidRPr="00964F54">
              <w:rPr>
                <w:rFonts w:ascii="Times New Roman" w:eastAsia="黑体" w:hAnsi="Times New Roman" w:hint="eastAsia"/>
                <w:color w:val="000000"/>
                <w:szCs w:val="21"/>
              </w:rPr>
              <w:t>4</w:t>
            </w:r>
          </w:p>
        </w:tc>
        <w:tc>
          <w:tcPr>
            <w:tcW w:w="1985" w:type="dxa"/>
            <w:shd w:val="clear" w:color="auto" w:fill="auto"/>
            <w:vAlign w:val="center"/>
          </w:tcPr>
          <w:p w:rsidR="00E64EA9" w:rsidRPr="00964F54" w:rsidRDefault="00A151BA" w:rsidP="00964F54">
            <w:pPr>
              <w:jc w:val="center"/>
              <w:rPr>
                <w:rFonts w:ascii="Times New Roman" w:eastAsia="黑体" w:hAnsi="Times New Roman"/>
                <w:color w:val="000000"/>
                <w:szCs w:val="21"/>
              </w:rPr>
            </w:pPr>
            <w:r w:rsidRPr="00964F54">
              <w:rPr>
                <w:rFonts w:ascii="Times New Roman" w:eastAsia="黑体" w:hAnsi="Times New Roman"/>
                <w:color w:val="000000"/>
                <w:szCs w:val="21"/>
              </w:rPr>
              <w:t>税务税收类</w:t>
            </w:r>
          </w:p>
        </w:tc>
        <w:tc>
          <w:tcPr>
            <w:tcW w:w="2611" w:type="dxa"/>
            <w:shd w:val="clear" w:color="auto" w:fill="auto"/>
            <w:vAlign w:val="center"/>
          </w:tcPr>
          <w:p w:rsidR="00E64EA9" w:rsidRPr="00442B55" w:rsidRDefault="00A151BA" w:rsidP="00442B55">
            <w:pPr>
              <w:rPr>
                <w:rFonts w:ascii="Times New Roman" w:hAnsi="Times New Roman"/>
                <w:color w:val="000000"/>
                <w:sz w:val="18"/>
                <w:szCs w:val="18"/>
              </w:rPr>
            </w:pPr>
            <w:r w:rsidRPr="00442B55">
              <w:rPr>
                <w:rFonts w:ascii="Times New Roman" w:hAnsi="Times New Roman"/>
                <w:color w:val="000000"/>
                <w:sz w:val="18"/>
                <w:szCs w:val="18"/>
              </w:rPr>
              <w:t>税务，税务硕士</w:t>
            </w:r>
          </w:p>
        </w:tc>
        <w:tc>
          <w:tcPr>
            <w:tcW w:w="2600" w:type="dxa"/>
            <w:shd w:val="clear" w:color="auto" w:fill="auto"/>
            <w:vAlign w:val="center"/>
          </w:tcPr>
          <w:p w:rsidR="00E64EA9" w:rsidRPr="00442B55" w:rsidRDefault="00A151BA" w:rsidP="00442B55">
            <w:pPr>
              <w:rPr>
                <w:rFonts w:ascii="Times New Roman" w:hAnsi="Times New Roman"/>
                <w:color w:val="000000"/>
                <w:sz w:val="18"/>
                <w:szCs w:val="18"/>
              </w:rPr>
            </w:pPr>
            <w:r w:rsidRPr="00442B55">
              <w:rPr>
                <w:rFonts w:ascii="Times New Roman" w:hAnsi="Times New Roman" w:hint="eastAsia"/>
                <w:color w:val="000000"/>
                <w:sz w:val="18"/>
                <w:szCs w:val="18"/>
              </w:rPr>
              <w:t>税务，财税，税收学，财税大数据应用，国际税收</w:t>
            </w:r>
            <w:bookmarkStart w:id="0" w:name="_GoBack"/>
            <w:bookmarkEnd w:id="0"/>
          </w:p>
        </w:tc>
      </w:tr>
    </w:tbl>
    <w:p w:rsidR="00E64EA9" w:rsidRDefault="00E64EA9"/>
    <w:sectPr w:rsidR="00E64EA9" w:rsidSect="00E64E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2CF5CD1"/>
    <w:rsid w:val="00124F42"/>
    <w:rsid w:val="0025529F"/>
    <w:rsid w:val="002F388A"/>
    <w:rsid w:val="003F6451"/>
    <w:rsid w:val="00442B55"/>
    <w:rsid w:val="0049679B"/>
    <w:rsid w:val="005A2129"/>
    <w:rsid w:val="006C46FC"/>
    <w:rsid w:val="00941072"/>
    <w:rsid w:val="00964F54"/>
    <w:rsid w:val="009826A9"/>
    <w:rsid w:val="00A151BA"/>
    <w:rsid w:val="00D21F40"/>
    <w:rsid w:val="00D8121C"/>
    <w:rsid w:val="00E64EA9"/>
    <w:rsid w:val="00FF360B"/>
    <w:rsid w:val="02CF5CD1"/>
    <w:rsid w:val="0C904288"/>
    <w:rsid w:val="28572987"/>
    <w:rsid w:val="3BFE7049"/>
    <w:rsid w:val="507E4B77"/>
    <w:rsid w:val="68F123C5"/>
    <w:rsid w:val="6B9D1E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4EA9"/>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12</cp:revision>
  <cp:lastPrinted>2025-07-03T03:31:00Z</cp:lastPrinted>
  <dcterms:created xsi:type="dcterms:W3CDTF">2025-07-02T02:19:00Z</dcterms:created>
  <dcterms:modified xsi:type="dcterms:W3CDTF">2025-07-03T04:02:00Z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03F020EF13EC41FD9006C2865E9E2414_13</vt:lpwstr>
  </property>
  <property fmtid="{D5CDD505-2E9C-101B-9397-08002B2CF9AE}" pid="4" name="KSOTemplateDocerSaveRecord">
    <vt:lpwstr>eyJoZGlkIjoiNmUzYzZjM2E2YjI0MTdiOWIzODBhMDdiNDQxYmRlMDUiLCJ1c2VySWQiOiI3ODQ5NjYzMTEifQ==</vt:lpwstr>
  </property>
</Properties>
</file>