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630" w:leftChars="-200" w:right="-812" w:rightChars="-258" w:firstLine="550" w:firstLineChars="200"/>
        <w:jc w:val="left"/>
        <w:rPr>
          <w:rFonts w:hint="default" w:ascii="Times New Roman" w:hAnsi="Times New Roman" w:eastAsia="方正黑体_GBK" w:cs="Times New Roman"/>
          <w:bCs/>
          <w:kern w:val="0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bCs/>
          <w:kern w:val="0"/>
          <w:sz w:val="28"/>
          <w:szCs w:val="28"/>
        </w:rPr>
        <w:t>附件</w:t>
      </w:r>
      <w:r>
        <w:rPr>
          <w:rFonts w:hint="default" w:ascii="Times New Roman" w:hAnsi="Times New Roman" w:eastAsia="方正黑体_GBK" w:cs="Times New Roman"/>
          <w:bCs/>
          <w:kern w:val="0"/>
          <w:sz w:val="28"/>
          <w:szCs w:val="28"/>
        </w:rPr>
        <w:t>1</w:t>
      </w:r>
    </w:p>
    <w:p>
      <w:pPr>
        <w:pStyle w:val="3"/>
        <w:spacing w:line="60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2025年度引才需求信息表</w:t>
      </w:r>
    </w:p>
    <w:tbl>
      <w:tblPr>
        <w:tblStyle w:val="4"/>
        <w:tblW w:w="14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616"/>
        <w:gridCol w:w="1487"/>
        <w:gridCol w:w="1322"/>
        <w:gridCol w:w="2415"/>
        <w:gridCol w:w="1590"/>
        <w:gridCol w:w="1260"/>
        <w:gridCol w:w="1635"/>
        <w:gridCol w:w="2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616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引进岗位</w:t>
            </w:r>
          </w:p>
        </w:tc>
        <w:tc>
          <w:tcPr>
            <w:tcW w:w="148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32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职务职称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要求</w:t>
            </w:r>
          </w:p>
        </w:tc>
        <w:tc>
          <w:tcPr>
            <w:tcW w:w="24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学历学位要求</w:t>
            </w:r>
          </w:p>
        </w:tc>
        <w:tc>
          <w:tcPr>
            <w:tcW w:w="159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126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需求人数</w:t>
            </w:r>
          </w:p>
        </w:tc>
        <w:tc>
          <w:tcPr>
            <w:tcW w:w="163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引进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方式</w:t>
            </w:r>
          </w:p>
        </w:tc>
        <w:tc>
          <w:tcPr>
            <w:tcW w:w="218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提供薪酬、生活待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</w:rPr>
              <w:t>遇或其他优惠条件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专业技术岗1</w:t>
            </w:r>
          </w:p>
        </w:tc>
        <w:tc>
          <w:tcPr>
            <w:tcW w:w="148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Cs/>
                <w:color w:val="FF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电子信息类0854</w:t>
            </w:r>
          </w:p>
        </w:tc>
        <w:tc>
          <w:tcPr>
            <w:tcW w:w="132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/</w:t>
            </w:r>
          </w:p>
        </w:tc>
        <w:tc>
          <w:tcPr>
            <w:tcW w:w="24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硕士研究生及以上学历且取得相应学位</w:t>
            </w:r>
          </w:p>
        </w:tc>
        <w:tc>
          <w:tcPr>
            <w:tcW w:w="159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</w:rPr>
              <w:t>年龄35周岁及以下</w:t>
            </w:r>
          </w:p>
        </w:tc>
        <w:tc>
          <w:tcPr>
            <w:tcW w:w="126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163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8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616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专业技术岗2</w:t>
            </w:r>
          </w:p>
        </w:tc>
        <w:tc>
          <w:tcPr>
            <w:tcW w:w="148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机械类0855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机械工程类0802</w:t>
            </w:r>
          </w:p>
        </w:tc>
        <w:tc>
          <w:tcPr>
            <w:tcW w:w="132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/</w:t>
            </w:r>
          </w:p>
        </w:tc>
        <w:tc>
          <w:tcPr>
            <w:tcW w:w="24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硕士研究生及以上学历且取得相应学位</w:t>
            </w:r>
          </w:p>
        </w:tc>
        <w:tc>
          <w:tcPr>
            <w:tcW w:w="159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</w:rPr>
              <w:t>年龄35周岁及以下</w:t>
            </w:r>
          </w:p>
        </w:tc>
        <w:tc>
          <w:tcPr>
            <w:tcW w:w="126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163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8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78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616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专业技术岗3</w:t>
            </w:r>
          </w:p>
        </w:tc>
        <w:tc>
          <w:tcPr>
            <w:tcW w:w="148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能源动力类0858</w:t>
            </w:r>
          </w:p>
        </w:tc>
        <w:tc>
          <w:tcPr>
            <w:tcW w:w="132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/</w:t>
            </w:r>
          </w:p>
        </w:tc>
        <w:tc>
          <w:tcPr>
            <w:tcW w:w="24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硕士研究生及以上学历且取得相应学位</w:t>
            </w:r>
          </w:p>
        </w:tc>
        <w:tc>
          <w:tcPr>
            <w:tcW w:w="159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</w:rPr>
              <w:t>年龄35周岁及以下</w:t>
            </w:r>
          </w:p>
        </w:tc>
        <w:tc>
          <w:tcPr>
            <w:tcW w:w="126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163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8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</w:p>
        </w:tc>
      </w:tr>
    </w:tbl>
    <w:p>
      <w:pPr>
        <w:pStyle w:val="2"/>
        <w:spacing w:line="600" w:lineRule="exact"/>
        <w:rPr>
          <w:rFonts w:hint="default" w:ascii="Times New Roman" w:hAnsi="Times New Roman" w:eastAsia="方正黑体_GBK" w:cs="Times New Roman"/>
          <w:bCs/>
          <w:color w:val="FF0000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color w:val="FF0000"/>
          <w:lang w:val="en-US" w:eastAsia="zh-CN"/>
        </w:rPr>
        <w:t xml:space="preserve"> </w:t>
      </w:r>
    </w:p>
    <w:p>
      <w:pPr>
        <w:pStyle w:val="2"/>
        <w:spacing w:line="600" w:lineRule="exact"/>
        <w:rPr>
          <w:rFonts w:hint="default" w:ascii="Times New Roman" w:hAnsi="Times New Roman" w:eastAsia="方正黑体_GBK" w:cs="Times New Roman"/>
          <w:bCs/>
          <w:color w:val="FF0000"/>
          <w:lang w:val="en-US" w:eastAsia="zh-CN"/>
        </w:rPr>
      </w:pPr>
    </w:p>
    <w:p>
      <w:pPr>
        <w:pStyle w:val="2"/>
        <w:spacing w:line="600" w:lineRule="exact"/>
        <w:rPr>
          <w:rFonts w:hint="default" w:ascii="Times New Roman" w:hAnsi="Times New Roman" w:eastAsia="方正黑体_GBK" w:cs="Times New Roman"/>
          <w:bCs/>
          <w:color w:val="FF0000"/>
          <w:lang w:val="en-US" w:eastAsia="zh-CN"/>
        </w:rPr>
        <w:sectPr>
          <w:footerReference r:id="rId3" w:type="default"/>
          <w:pgSz w:w="16838" w:h="11906" w:orient="landscape"/>
          <w:pgMar w:top="1587" w:right="2098" w:bottom="1474" w:left="1984" w:header="851" w:footer="1587" w:gutter="0"/>
          <w:cols w:space="720" w:num="1"/>
          <w:docGrid w:type="linesAndChars" w:linePitch="579" w:charSpace="-1105"/>
        </w:sectPr>
      </w:pPr>
    </w:p>
    <w:p>
      <w:pPr>
        <w:pStyle w:val="2"/>
        <w:spacing w:line="600" w:lineRule="exact"/>
        <w:rPr>
          <w:rFonts w:hint="default" w:ascii="Times New Roman" w:hAnsi="Times New Roman" w:eastAsia="方正黑体_GBK" w:cs="Times New Roman"/>
          <w:bCs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bCs/>
          <w:sz w:val="28"/>
          <w:szCs w:val="28"/>
        </w:rPr>
        <w:t>附件</w:t>
      </w:r>
      <w:r>
        <w:rPr>
          <w:rFonts w:hint="default" w:ascii="Times New Roman" w:hAnsi="Times New Roman" w:eastAsia="方正黑体_GBK" w:cs="Times New Roman"/>
          <w:bCs/>
          <w:sz w:val="28"/>
          <w:szCs w:val="28"/>
        </w:rPr>
        <w:t>2</w:t>
      </w:r>
    </w:p>
    <w:p>
      <w:pPr>
        <w:widowControl/>
        <w:spacing w:line="660" w:lineRule="exact"/>
        <w:jc w:val="center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w w:val="96"/>
          <w:sz w:val="40"/>
          <w:szCs w:val="40"/>
        </w:rPr>
        <w:t>四川省南充市2025年度引进高层次人才报名表</w:t>
      </w:r>
    </w:p>
    <w:tbl>
      <w:tblPr>
        <w:tblStyle w:val="4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134"/>
        <w:gridCol w:w="1008"/>
        <w:gridCol w:w="189"/>
        <w:gridCol w:w="412"/>
        <w:gridCol w:w="422"/>
        <w:gridCol w:w="322"/>
        <w:gridCol w:w="1404"/>
        <w:gridCol w:w="853"/>
        <w:gridCol w:w="351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姓 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性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出 生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年 月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照 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（2寸彩色免冠）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民 族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籍 贯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健 康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状 况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入 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时 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参 工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时 间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专业技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术职务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学 历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学 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在 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号码</w:t>
            </w:r>
          </w:p>
        </w:tc>
        <w:tc>
          <w:tcPr>
            <w:tcW w:w="233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联系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电话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电子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邮箱</w:t>
            </w:r>
          </w:p>
        </w:tc>
        <w:tc>
          <w:tcPr>
            <w:tcW w:w="212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现工作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报考单位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及岗位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5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历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（从大学教育填起）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奖惩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家庭主要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成员及重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要社会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称谓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年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龄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面貌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是否有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回避关系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0010101010101"/>
    <w:charset w:val="00"/>
    <w:family w:val="script"/>
    <w:pitch w:val="default"/>
    <w:sig w:usb0="00000000" w:usb1="0000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56BAB"/>
    <w:rsid w:val="3BF5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  <w:ind w:firstLine="0" w:firstLineChars="0"/>
    </w:pPr>
    <w:rPr>
      <w:sz w:val="24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2025-07-07T15:44:00Z</dcterms:created>
  <dc:creator>uos</dc:creator>
  <cp:lastModifiedBy>uos</cp:lastModifiedBy>
  <dcterms:modified xsi:type="dcterms:W3CDTF">2025-07-07T15:48:14Z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2052-11.1.0.11720</vt:lpwstr>
  </property>
</Properties>
</file>