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0B6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岗位说明书</w:t>
      </w:r>
    </w:p>
    <w:tbl>
      <w:tblPr>
        <w:tblStyle w:val="6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7870"/>
      </w:tblGrid>
      <w:tr w14:paraId="5A88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9776" w:type="dxa"/>
            <w:gridSpan w:val="2"/>
            <w:shd w:val="clear" w:color="auto" w:fill="D9D9D9"/>
          </w:tcPr>
          <w:p w14:paraId="4814556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岗位信息</w:t>
            </w:r>
          </w:p>
        </w:tc>
      </w:tr>
      <w:tr w14:paraId="2260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1255E17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岗</w:t>
            </w:r>
            <w:r>
              <w:rPr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4F0942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基金管理部（投资中心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highlight w:val="none"/>
              </w:rPr>
              <w:t>投后管理高级主管</w:t>
            </w:r>
          </w:p>
        </w:tc>
      </w:tr>
      <w:tr w14:paraId="35C80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F1D37F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直接上级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E7109A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14:paraId="2313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259EE1E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岗位职责</w:t>
            </w:r>
          </w:p>
        </w:tc>
      </w:tr>
      <w:tr w14:paraId="2324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783FB1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日常投后管理：负责公司投资项目的日常投后管理工作，包括对被投资企业的资料搜集和投后台账维护。跟踪项目进展情况，定期评估投资效果，提出改进建议。协助上级制定或修订投后管理制度，确保制度的有效执行。</w:t>
            </w:r>
          </w:p>
          <w:p w14:paraId="3FC881E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投后风险管理：对已投资项目进行风险监控，及时发现并报告潜在风险，提出风险应对措施。参与制定风险控制流程，确保投资项目的稳健运行。协调内外部资源，参与公司投资项目中的法律纠纷解决，参与诉讼、仲裁及执行。</w:t>
            </w:r>
          </w:p>
          <w:p w14:paraId="4CF52DC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项目审查评估：负责开展项目审查，从行业、市场、技术、财务等多维度提出审查评估建议，对项目估值合理性进行客观判断，及时发现并披露项目潜在风险。负责组织投资评审会，协调行业专家对项目开展第三方评审。</w:t>
            </w:r>
          </w:p>
          <w:p w14:paraId="4A98AE5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增值服务与协同：重点走访相关被投企业，了解企业运营情况，提供必要的增值服务，如公司治理、股权设计、战略规划、财务管理、市场拓展等。协同企业内部相关业务部门，推进被投资企业与主业协同，实现双向赋能。</w:t>
            </w:r>
          </w:p>
          <w:p w14:paraId="4CE4F0C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项目退出与评估：参与集团母基金管理，协助开展项目资金运作及资产处置等工作。参与制定股权转让、退出项目的审批及实施计划，确保国有资产保值增值。开展所投股权的跟踪监督，落实投资协议及协同条款，提出股权调整建议。</w:t>
            </w:r>
          </w:p>
          <w:p w14:paraId="29700E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报告与沟通：定期向上级汇报投资进度、风险等信息，提出改进建议。协助完成投资者关系维护，保持与投资者的良好沟通。</w:t>
            </w:r>
          </w:p>
          <w:p w14:paraId="3DEADA7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/>
                <w:sz w:val="24"/>
                <w:szCs w:val="24"/>
              </w:rPr>
              <w:t>完成领导交办的其他事项。</w:t>
            </w:r>
          </w:p>
        </w:tc>
      </w:tr>
      <w:tr w14:paraId="21B19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45A8E59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岗位任职资格</w:t>
            </w:r>
          </w:p>
        </w:tc>
      </w:tr>
      <w:tr w14:paraId="3214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25FF747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具有良好的政治素养和职业道德，遵纪守法、廉洁从业、诚实守信。</w:t>
            </w:r>
          </w:p>
          <w:p w14:paraId="3F8816B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具有任职岗位所需的业务能力、学习能力和人际交往能力，协调解决问题能力强。</w:t>
            </w:r>
          </w:p>
          <w:p w14:paraId="472D709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具备良好的心理素质，具备与工作要求相适应的身体条件，身体健康，无职业禁忌疾病，能够承受较大工作压力。</w:t>
            </w:r>
          </w:p>
          <w:p w14:paraId="5566F67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认同国家电投的企业文化和企业价值观。</w:t>
            </w:r>
          </w:p>
        </w:tc>
      </w:tr>
      <w:tr w14:paraId="3F5E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  <w:vAlign w:val="center"/>
          </w:tcPr>
          <w:p w14:paraId="49A449D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条件</w:t>
            </w:r>
          </w:p>
        </w:tc>
      </w:tr>
      <w:tr w14:paraId="150E9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00DCDB59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highlight w:val="none"/>
              </w:rPr>
              <w:t>必要条件</w:t>
            </w:r>
          </w:p>
          <w:p w14:paraId="03F3C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（1）硕士研究生及以上学历，理工类或法律、金融类相关专业毕业。</w:t>
            </w:r>
          </w:p>
          <w:p w14:paraId="71995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具有5年以上股权投资或投后管理相关工作经历，具有投后管理、股权投资、资产管理、资产重组、诉讼仲裁等项目实务操作经验。如应聘者系国家电投集团在职人员，应具有相当于集团部门一级专责职务相应岗位任职经历，或应具有担任相当于集团部门二级专责职务满3年及以上相应岗位任职经历。</w:t>
            </w:r>
          </w:p>
          <w:p w14:paraId="492BB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（3）累计工作满6年，熟悉国资的产权管理和行业监管政策，能够理解和分析财务报表和报告，熟悉新能源行业，具有CPA、CFA、FRM、法律执业资格者优先。</w:t>
            </w:r>
          </w:p>
          <w:p w14:paraId="3898F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（4）具有低调务实、勤勉肯干、敢于担当等良好道德品质，责任心强，做事主动积极，沟通能力强，具有较强的文字写作能力。</w:t>
            </w:r>
          </w:p>
        </w:tc>
      </w:tr>
      <w:tr w14:paraId="4BA1F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45AFE45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否定条件</w:t>
            </w:r>
          </w:p>
          <w:p w14:paraId="3890CD82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（1）曾被司法机关或原单位纪检、监察部门、金融监管部门认定违法违纪的；</w:t>
            </w:r>
          </w:p>
          <w:p w14:paraId="49722DF1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）配偶已移居国（境）外，或者没有配偶但子女均已移居国（境）外的；</w:t>
            </w:r>
          </w:p>
          <w:p w14:paraId="1FE602B7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）受到诫勉、组织处理或者党纪政务处分等，影响期未满或者期满影响使用的；</w:t>
            </w:r>
          </w:p>
          <w:p w14:paraId="60025C62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）有不良信用记录或触犯法律、行政法规、行业监管机构以及其他禁止性条件的；</w:t>
            </w:r>
          </w:p>
          <w:p w14:paraId="350FEBC9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公司法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第178条所列情形及其他法律法规规定的禁入情形等；</w:t>
            </w:r>
          </w:p>
          <w:p w14:paraId="08BF8097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）原单位近三年考核结果有“不称职”等次的。</w:t>
            </w:r>
          </w:p>
        </w:tc>
      </w:tr>
    </w:tbl>
    <w:p w14:paraId="7170518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</w:pPr>
    </w:p>
    <w:p w14:paraId="0BD5E50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080" w:bottom="898" w:left="1080" w:header="851" w:footer="777" w:gutter="0"/>
          <w:pgNumType w:start="1"/>
          <w:cols w:space="425" w:num="1"/>
          <w:docGrid w:type="lines" w:linePitch="312" w:charSpace="0"/>
        </w:sectPr>
      </w:pPr>
    </w:p>
    <w:p w14:paraId="02AB1A3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岗位说明书</w:t>
      </w:r>
    </w:p>
    <w:tbl>
      <w:tblPr>
        <w:tblStyle w:val="6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7870"/>
      </w:tblGrid>
      <w:tr w14:paraId="6A130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2"/>
            <w:shd w:val="clear" w:color="auto" w:fill="D9D9D9"/>
          </w:tcPr>
          <w:p w14:paraId="7A7A22A4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岗位信息</w:t>
            </w:r>
          </w:p>
        </w:tc>
      </w:tr>
      <w:tr w14:paraId="34C5B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261DBC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岗</w:t>
            </w:r>
            <w:r>
              <w:rPr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0E7939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</w:rPr>
              <w:t>市值管理事业部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highlight w:val="none"/>
              </w:rPr>
              <w:t>投资研究高级主管</w:t>
            </w:r>
          </w:p>
        </w:tc>
      </w:tr>
      <w:tr w14:paraId="46317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419B90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直接上级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1DA768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14:paraId="43948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22A1898E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岗位职责</w:t>
            </w:r>
          </w:p>
        </w:tc>
      </w:tr>
      <w:tr w14:paraId="52907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EAC5FFC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负责资本市场投资和基金持有证券资产管理工作，拟定和执行投资交易方案；</w:t>
            </w:r>
          </w:p>
          <w:p w14:paraId="38C4DC8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对监管政策、相关行业发展态势和资本市场发展形势进行持续深入研究，根据研究成果及时提出工作建议；</w:t>
            </w:r>
          </w:p>
          <w:p w14:paraId="150B938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对相关标的进行持续深入研究，建立估值模型，定期完成研究报告，根据研究成果及时提出工作建议；</w:t>
            </w:r>
          </w:p>
          <w:p w14:paraId="422084C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通过调研等方式持续跟踪相关行业和标的公司经营管理情况及变化，研究提出工作建议；</w:t>
            </w:r>
          </w:p>
          <w:p w14:paraId="1CB3D53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广泛对接各类研究机构、投资机构，建立资本市场投资研究合作体系；</w:t>
            </w:r>
          </w:p>
          <w:p w14:paraId="369C9A7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负责资本市场相关创新工作的研究、策划和实施；</w:t>
            </w:r>
          </w:p>
          <w:p w14:paraId="22E85653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负责对基金持有证券资产管理业务进行研究和管理，审核基金持有证券资产管理方案并出具专业意见，跟踪监督基金持有证券资产退出执行情况；</w:t>
            </w:r>
          </w:p>
          <w:p w14:paraId="2E7C821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领导交办的其他工作。</w:t>
            </w:r>
          </w:p>
        </w:tc>
      </w:tr>
      <w:tr w14:paraId="70794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53D86F7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岗位任职资格</w:t>
            </w:r>
          </w:p>
        </w:tc>
      </w:tr>
      <w:tr w14:paraId="0B8E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tblHeader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1F19C63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具有良好的政治素养和职业道德，遵纪守法、廉洁从业、诚实守信。</w:t>
            </w:r>
          </w:p>
          <w:p w14:paraId="373BD97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具有任职岗位所需的业务能力、学习能力和人际交往能力，协调解决问题能力强。</w:t>
            </w:r>
          </w:p>
          <w:p w14:paraId="76CD11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具备良好的心理素质，具备与工作要求相适应的身体条件，身体健康，无职业禁忌疾病，能够承受较大工作压力。</w:t>
            </w:r>
          </w:p>
          <w:p w14:paraId="08C7975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认同国家电投的企业文化和企业价值观。</w:t>
            </w:r>
          </w:p>
        </w:tc>
      </w:tr>
      <w:tr w14:paraId="7C1F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  <w:vAlign w:val="center"/>
          </w:tcPr>
          <w:p w14:paraId="667051F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条件</w:t>
            </w:r>
          </w:p>
        </w:tc>
      </w:tr>
      <w:tr w14:paraId="1EBE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4ECAEAF4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highlight w:val="none"/>
              </w:rPr>
              <w:t>必要条件</w:t>
            </w:r>
          </w:p>
          <w:p w14:paraId="17E0A09D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（1）硕士研究生及以上学历，金融、金融工程、经济、会计、统计、数学等相关专业毕业，或具有复合教育背景者，累计工作满6年。有CFA、CPA等相关证书者优先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；</w:t>
            </w:r>
          </w:p>
          <w:p w14:paraId="2A10806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eastAsia="仿宋_GB2312"/>
                <w:b w:val="0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（2）具有3年以上知名券商研究/自营/资管、公募基金、保险资管、私募基金等专业机构投资管理、行业研究、股票交易工作经验，有能源、电力等相关投资、研究经验优先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；如应聘者系国家电投集团在职人员，应具有相当于集团部门一级专责职务相应岗位任职经历，或应具有担任相当于集团部门二级专责职务满3年及以上相应岗位任职经历。</w:t>
            </w:r>
          </w:p>
          <w:p w14:paraId="5EB9E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ascii="仿宋_GB2312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  <w:t xml:space="preserve">（3）具备扎实的金融学、经济学、会计学基础，熟悉资本市场运作机制及财务分析框架；对金融监管规则、资本市场动态和上市公司股权融资有深刻洞察；具备优秀的沟通能力； </w:t>
            </w:r>
          </w:p>
          <w:p w14:paraId="6D53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  <w:t>（4）精通Excel、Wind、Bloomberg等金融数据库和分析工具；具备Python、SQL、R等数据处理能力者优先；熟练使用PPT，具备良好的数据可视化展示能力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4C2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  <w:t>（5）具备清晰的逻辑推理能力，对新兴行业和技术有快速学习及理解能力；适应高强度工作节奏，身体健康、积极向上，拥有良好的组织协调与管理能力、逻辑思维和沟通表达能力、开拓创新能力</w:t>
            </w: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9049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  <w:t>（6）具有良好的职业操守和敬业精神，作风正派，吃苦耐劳，严于律己，廉洁奉公，无不良从业记录。</w:t>
            </w:r>
          </w:p>
          <w:p w14:paraId="6A17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 w:ascii="仿宋_GB2312" w:eastAsia="仿宋_GB2312"/>
                <w:bCs/>
                <w:sz w:val="24"/>
                <w:szCs w:val="24"/>
                <w:highlight w:val="none"/>
              </w:rPr>
            </w:pPr>
          </w:p>
          <w:p w14:paraId="27A7BC76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否定条件</w:t>
            </w:r>
          </w:p>
          <w:p w14:paraId="10DD9EE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（1）曾被司法机关或原单位纪检、监察部门、金融监管部门认定违法违纪的；</w:t>
            </w:r>
          </w:p>
          <w:p w14:paraId="017BE74E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）配偶已移居国（境）外，或者没有配偶但子女均已移居国（境）外的；</w:t>
            </w:r>
          </w:p>
          <w:p w14:paraId="29F1BE8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）受到诫勉、组织处理或者党纪政务处分等，影响期未满或者期满影响使用的；</w:t>
            </w:r>
          </w:p>
          <w:p w14:paraId="1D5BBA7C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）有不良信用记录或触犯法律、行政法规、行业监管机构以及其他禁止性条件的；</w:t>
            </w:r>
          </w:p>
          <w:p w14:paraId="1E087D3E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公司法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第178条所列情形及其他法律法规规定的禁入情形等；</w:t>
            </w:r>
          </w:p>
          <w:p w14:paraId="384CEA0F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）原单位近三年考核结果有“不称职”等次的。</w:t>
            </w:r>
          </w:p>
        </w:tc>
      </w:tr>
    </w:tbl>
    <w:p w14:paraId="0AB2E52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</w:pPr>
    </w:p>
    <w:p w14:paraId="556A28B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</w:pPr>
    </w:p>
    <w:p w14:paraId="0FFC221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  <w:sectPr>
          <w:headerReference r:id="rId6" w:type="default"/>
          <w:footerReference r:id="rId7" w:type="default"/>
          <w:footerReference r:id="rId8" w:type="even"/>
          <w:pgSz w:w="11906" w:h="16838"/>
          <w:pgMar w:top="1440" w:right="1080" w:bottom="898" w:left="1080" w:header="851" w:footer="777" w:gutter="0"/>
          <w:pgNumType w:start="1"/>
          <w:cols w:space="425" w:num="1"/>
          <w:docGrid w:type="lines" w:linePitch="312" w:charSpace="0"/>
        </w:sectPr>
      </w:pPr>
    </w:p>
    <w:p w14:paraId="3CA33BA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sz w:val="36"/>
          <w:szCs w:val="36"/>
        </w:rPr>
      </w:pPr>
      <w:bookmarkStart w:id="0" w:name="_Toc11594398"/>
      <w:r>
        <w:rPr>
          <w:rFonts w:hint="eastAsia"/>
          <w:sz w:val="36"/>
          <w:szCs w:val="36"/>
        </w:rPr>
        <w:t>岗位说明书</w:t>
      </w:r>
      <w:bookmarkEnd w:id="0"/>
    </w:p>
    <w:tbl>
      <w:tblPr>
        <w:tblStyle w:val="6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7870"/>
      </w:tblGrid>
      <w:tr w14:paraId="1D376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2"/>
            <w:shd w:val="clear" w:color="auto" w:fill="D9D9D9"/>
          </w:tcPr>
          <w:p w14:paraId="600BE0C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岗位信息</w:t>
            </w:r>
          </w:p>
        </w:tc>
      </w:tr>
      <w:tr w14:paraId="42A79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9252F8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岗</w:t>
            </w:r>
            <w:r>
              <w:rPr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3BD896C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党群工作部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党建管理（党风廉政建设）高级主管</w:t>
            </w:r>
          </w:p>
        </w:tc>
      </w:tr>
      <w:tr w14:paraId="185AC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C6A800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直接上级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06838C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14:paraId="3EA7B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1CB74020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岗位职责</w:t>
            </w:r>
          </w:p>
        </w:tc>
      </w:tr>
      <w:tr w14:paraId="6B54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1507825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1.具体负责公司贯彻落实习近平总书记重要指示批示精神相关工作，制定公司贯彻落实计划，做好工作督办和总结评估；沟通集团对口部门、指导中俄能源基金做好台账、月度报告、年度计划总结。</w:t>
            </w:r>
          </w:p>
          <w:p w14:paraId="643FDEA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2.协助负责公司党委落实全面从严治党主体责任日常工作，协助编制全面从严治党制度、清单、重点任务，协助做好党风廉政建设统筹协调以及重点任务的执行落实、沟通反馈，推动健全长效机制等工作。</w:t>
            </w:r>
          </w:p>
          <w:p w14:paraId="588B827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3.牵头制定公司党的建设各类规划、计划的制定和实施，做好公司党建重点任务编制分解下达和跟踪督办，负责年度党建工作会议、创先争优、年度党建工作责任制考核等工作。</w:t>
            </w:r>
          </w:p>
          <w:p w14:paraId="2CEEBB9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4.负责公司党的创新理论武装相关工作，包括党委会“第一议题”学习规划计划和组织实施，党委理论学习中心组学习会的筹备、组织和服务等工作。</w:t>
            </w:r>
          </w:p>
          <w:p w14:paraId="2D81281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5.负责落实《中国共产党重大事项请示报告条例》有关要求，做好重大事项请示报告工作。</w:t>
            </w:r>
          </w:p>
          <w:p w14:paraId="05C5876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6.牵头做好公司党内集中性学习教育，负责公司党的建设领导小组各项工作。</w:t>
            </w:r>
          </w:p>
          <w:p w14:paraId="6D1CB4B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7.负责公司领导班子民主生活会筹备、组织和服务工作，起草相关文件材料，落实整改提升各项工作。</w:t>
            </w:r>
          </w:p>
          <w:p w14:paraId="53C3203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8.负责公司党委扩大会、务虚会、专题会等规划计划及组织实施。</w:t>
            </w:r>
          </w:p>
          <w:p w14:paraId="58C6009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9.负责落实党委加强党务干部队伍建设各项部署要求，与人资部等大党建部做好协同。</w:t>
            </w:r>
          </w:p>
          <w:p w14:paraId="11C675C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10.完成部门交办的综合管理及其他工作。落实A/B角色管理要求，做好与部门相关岗位的配合协调补位。</w:t>
            </w:r>
          </w:p>
        </w:tc>
      </w:tr>
      <w:tr w14:paraId="0220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708B17A9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岗位任职资格</w:t>
            </w:r>
          </w:p>
        </w:tc>
      </w:tr>
      <w:tr w14:paraId="0CA17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06F0394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具有良好的政治素养和职业道德，遵纪守法、廉洁从业、诚实守信。</w:t>
            </w:r>
          </w:p>
          <w:p w14:paraId="37AEC33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具有任职岗位所需的业务能力、学习能力和人际交往能力，协调解决问题能力强。</w:t>
            </w:r>
          </w:p>
          <w:p w14:paraId="5AC5D7C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具备良好的心理素质，具备与工作要求相适应的身体条件，身体健康，无职业禁忌疾病，能够承受较大工作压力。</w:t>
            </w:r>
          </w:p>
          <w:p w14:paraId="110213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认同国家电投的企业文化和企业价值观。</w:t>
            </w:r>
          </w:p>
        </w:tc>
      </w:tr>
      <w:tr w14:paraId="19279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  <w:vAlign w:val="center"/>
          </w:tcPr>
          <w:p w14:paraId="76B32A78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条件</w:t>
            </w:r>
          </w:p>
        </w:tc>
      </w:tr>
      <w:tr w14:paraId="13D1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9926D42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highlight w:val="none"/>
              </w:rPr>
              <w:t>必要条件</w:t>
            </w:r>
          </w:p>
          <w:p w14:paraId="1894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（1）中共党员，全日制大学本科及以上学历，具有中级及以上职称；</w:t>
            </w:r>
          </w:p>
          <w:p w14:paraId="7EB7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（2）具有5年及以上党建或大党建工作经历。具有二级单位党建部门工作经历者优先；</w:t>
            </w:r>
          </w:p>
          <w:p w14:paraId="5E298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（3）现任相当于集团部门一级专责职务相应岗位，或者相当于集团部门二级专责职务相应岗位3年以上工作经历；</w:t>
            </w:r>
          </w:p>
          <w:p w14:paraId="5494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（4）具有较好的政治理论素养，坚定拥护党的路线方针政策，熟练掌握党建相</w:t>
            </w:r>
            <w:bookmarkStart w:id="1" w:name="_GoBack"/>
            <w:bookmarkEnd w:id="1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关业务，具有履行岗位职责所需的专业知识和职业素养，有良好的文字表达能力、组织协调能力、计划执行能力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；</w:t>
            </w:r>
          </w:p>
          <w:p w14:paraId="20AC6561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（5）原则上年龄不超过40周岁。条件特别优秀者适当放宽。</w:t>
            </w:r>
          </w:p>
        </w:tc>
      </w:tr>
      <w:tr w14:paraId="120A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top"/>
          </w:tcPr>
          <w:p w14:paraId="4A07671D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否定条件</w:t>
            </w:r>
          </w:p>
          <w:p w14:paraId="7B748B21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（1）曾被司法机关或原单位纪检、监察部门、金融监管部门认定违法违纪的；</w:t>
            </w:r>
          </w:p>
          <w:p w14:paraId="374114F5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）配偶已移居国（境）外，或者没有配偶但子女均已移居国（境）外的；</w:t>
            </w:r>
          </w:p>
          <w:p w14:paraId="2A4EEA24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）受到诫勉、组织处理或者党纪政务处分等，影响期未满或者期满影响使用的；</w:t>
            </w:r>
          </w:p>
          <w:p w14:paraId="6E45245A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）有不良信用记录或触犯法律、行政法规、行业监管机构以及其他禁止性条件的；</w:t>
            </w:r>
          </w:p>
          <w:p w14:paraId="4C61DAB0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公司法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第178条所列情形及其他法律法规规定的禁入情形等；</w:t>
            </w:r>
          </w:p>
          <w:p w14:paraId="2068E008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jc w:val="both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）原单位近三年考核结果有“不称职”等次的。</w:t>
            </w:r>
          </w:p>
        </w:tc>
      </w:tr>
    </w:tbl>
    <w:p w14:paraId="653E3BF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  <w:sectPr>
          <w:headerReference r:id="rId9" w:type="default"/>
          <w:footerReference r:id="rId11" w:type="default"/>
          <w:headerReference r:id="rId10" w:type="even"/>
          <w:footerReference r:id="rId12" w:type="even"/>
          <w:pgSz w:w="11906" w:h="16838"/>
          <w:pgMar w:top="1440" w:right="1080" w:bottom="534" w:left="1080" w:header="851" w:footer="137" w:gutter="0"/>
          <w:pgNumType w:start="1"/>
          <w:cols w:space="425" w:num="1"/>
          <w:docGrid w:type="lines" w:linePitch="312" w:charSpace="0"/>
        </w:sectPr>
      </w:pPr>
    </w:p>
    <w:p w14:paraId="0AE0830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岗位说明书</w:t>
      </w:r>
    </w:p>
    <w:tbl>
      <w:tblPr>
        <w:tblStyle w:val="6"/>
        <w:tblW w:w="98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7870"/>
      </w:tblGrid>
      <w:tr w14:paraId="4AB77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76" w:type="dxa"/>
            <w:gridSpan w:val="2"/>
            <w:shd w:val="clear" w:color="auto" w:fill="D9D9D9"/>
          </w:tcPr>
          <w:p w14:paraId="57A530CD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岗位信息</w:t>
            </w:r>
          </w:p>
        </w:tc>
      </w:tr>
      <w:tr w14:paraId="17A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3ED071D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</w:rPr>
              <w:t>岗</w:t>
            </w:r>
            <w:r>
              <w:rPr>
                <w:sz w:val="24"/>
                <w:szCs w:val="24"/>
                <w:highlight w:val="none"/>
              </w:rPr>
              <w:t>位名称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6D756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 xml:space="preserve">人力资源部 </w:t>
            </w:r>
            <w:r>
              <w:rPr>
                <w:rFonts w:hint="eastAsia"/>
                <w:sz w:val="24"/>
                <w:szCs w:val="24"/>
                <w:highlight w:val="none"/>
                <w:lang w:eastAsia="zh-CN"/>
              </w:rPr>
              <w:t>人事专责</w:t>
            </w:r>
          </w:p>
        </w:tc>
      </w:tr>
      <w:tr w14:paraId="3876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65BEDF7B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直接上级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4A2394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门</w:t>
            </w:r>
            <w:r>
              <w:rPr>
                <w:rFonts w:hint="eastAsia"/>
                <w:sz w:val="24"/>
                <w:szCs w:val="24"/>
              </w:rPr>
              <w:t>负责人</w:t>
            </w:r>
          </w:p>
        </w:tc>
      </w:tr>
      <w:tr w14:paraId="4D1F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6597E606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岗位职责</w:t>
            </w:r>
          </w:p>
        </w:tc>
      </w:tr>
      <w:tr w14:paraId="1C004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25C22AB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1.组织开展公司本部专业技术序列评聘工作、公司专业骨干人才库建设、职称工作和人才评价工作。</w:t>
            </w:r>
          </w:p>
          <w:p w14:paraId="575ADCE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2.年度招聘计划的制定、负责公司校园招聘和社会招聘工作，组织开展高层次和紧缺人才的引进。</w:t>
            </w:r>
          </w:p>
          <w:p w14:paraId="38C65D6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负责公司培训体系建设，制定年度教育培训计划并组织实施。统筹内外部教育培训资源，协助协调解决培训实施中有关问题，做好培训任务的督促落实。负责组织制定培训规划、年度计划并实施，监督检查培训成效及经费使用，包括课程开发设计、培训组织、效果评估等。</w:t>
            </w:r>
          </w:p>
          <w:p w14:paraId="5B67618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4.负责人力资源信息系统应用管理，保障信息完整、准确、及时，对人力资源管理业务形成有效支撑。</w:t>
            </w:r>
          </w:p>
          <w:p w14:paraId="19DC5D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5.负责公司及所属单位劳动关系管理，规范人员选聘、录用、退出管理。</w:t>
            </w:r>
          </w:p>
          <w:p w14:paraId="7E28D6B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6.负责办理京外调干、国内高校毕业生、留学归国人员落户工作，负责办理北京工作居住证、离退休管理工作。</w:t>
            </w:r>
          </w:p>
          <w:p w14:paraId="68C7DA9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7.其它应由岗位履行的职责。</w:t>
            </w:r>
          </w:p>
        </w:tc>
      </w:tr>
      <w:tr w14:paraId="22B1F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</w:tcPr>
          <w:p w14:paraId="6358CD81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岗位任职资格</w:t>
            </w:r>
          </w:p>
        </w:tc>
      </w:tr>
      <w:tr w14:paraId="4058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676F941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具有良好的政治素养和职业道德，遵纪守法、廉洁从业、诚实守信。</w:t>
            </w:r>
          </w:p>
          <w:p w14:paraId="08384A4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具有任职岗位所需的业务能力、学习能力和人际交往能力，协调解决问题能力强。</w:t>
            </w:r>
          </w:p>
          <w:p w14:paraId="53854F7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具备良好的心理素质，具备与工作要求相适应的身体条件，身体健康，无职业禁忌疾病，能够承受较大工作压力。</w:t>
            </w:r>
          </w:p>
          <w:p w14:paraId="6BE7BA3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认同国家电投的企业文化和企业价值观。</w:t>
            </w:r>
          </w:p>
        </w:tc>
      </w:tr>
      <w:tr w14:paraId="55446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776" w:type="dxa"/>
            <w:gridSpan w:val="2"/>
            <w:shd w:val="clear" w:color="auto" w:fill="D7D7D7" w:themeFill="background1" w:themeFillShade="D8"/>
            <w:vAlign w:val="center"/>
          </w:tcPr>
          <w:p w14:paraId="29DA8322">
            <w:pPr>
              <w:pStyle w:val="1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firstLine="0" w:firstLineChars="0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条件</w:t>
            </w:r>
          </w:p>
        </w:tc>
      </w:tr>
      <w:tr w14:paraId="5475E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  <w:jc w:val="center"/>
        </w:trPr>
        <w:tc>
          <w:tcPr>
            <w:tcW w:w="9776" w:type="dxa"/>
            <w:gridSpan w:val="2"/>
            <w:shd w:val="clear" w:color="auto" w:fill="auto"/>
            <w:vAlign w:val="center"/>
          </w:tcPr>
          <w:p w14:paraId="745D179E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/>
                <w:sz w:val="24"/>
                <w:szCs w:val="24"/>
                <w:highlight w:val="none"/>
              </w:rPr>
              <w:t>必要条件</w:t>
            </w:r>
          </w:p>
          <w:p w14:paraId="26016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（1）中共党员，硕士研究生及以上学历，人力资源、行政管理、金融、电力等相关专业背景；</w:t>
            </w:r>
          </w:p>
          <w:p w14:paraId="08E3C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（2）2年以上人力资源相关从业经验，具备电力行业从业经验优先；</w:t>
            </w:r>
          </w:p>
          <w:p w14:paraId="1362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（3）良好的沟通表达能力和协调解决问题能力，文字材料撰写经验丰富者优先；</w:t>
            </w:r>
          </w:p>
          <w:p w14:paraId="752FB71A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（4）原则上年龄不超过30周岁。</w:t>
            </w:r>
          </w:p>
          <w:p w14:paraId="56A5CA92"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12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/>
                <w:sz w:val="24"/>
                <w:szCs w:val="24"/>
                <w:highlight w:val="none"/>
              </w:rPr>
              <w:t>否定条件</w:t>
            </w:r>
          </w:p>
          <w:p w14:paraId="5737E5FA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（1）曾被司法机关或原单位纪检、监察部门、金融监管部门认定违法违纪的；</w:t>
            </w:r>
          </w:p>
          <w:p w14:paraId="568E84AC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）配偶已移居国（境）外，或者没有配偶但子女均已移居国（境）外的；</w:t>
            </w:r>
          </w:p>
          <w:p w14:paraId="2C52AF2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）受到诫勉、组织处理或者党纪政务处分等，影响期未满或者期满影响使用的；</w:t>
            </w:r>
          </w:p>
          <w:p w14:paraId="388FEF3C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）有不良信用记录或触犯法律、行政法规、行业监管机构以及其他禁止性条件的；</w:t>
            </w:r>
          </w:p>
          <w:p w14:paraId="2B20E21B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 w:eastAsia="仿宋_GB2312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《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公司法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eastAsia="zh-CN"/>
              </w:rPr>
              <w:t>》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第178条所列情形及其他法律法规规定的禁入情形等；</w:t>
            </w:r>
          </w:p>
          <w:p w14:paraId="22896224">
            <w:pPr>
              <w:pStyle w:val="2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clear" w:pos="1280"/>
              </w:tabs>
              <w:kinsoku/>
              <w:wordWrap/>
              <w:overflowPunct/>
              <w:topLinePunct/>
              <w:autoSpaceDE/>
              <w:autoSpaceDN/>
              <w:bidi w:val="0"/>
              <w:adjustRightInd w:val="0"/>
              <w:snapToGrid/>
              <w:spacing w:line="360" w:lineRule="exact"/>
              <w:ind w:left="0" w:leftChars="0" w:firstLine="0" w:firstLineChars="0"/>
              <w:textAlignment w:val="auto"/>
              <w:rPr>
                <w:sz w:val="24"/>
                <w:szCs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（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highlight w:val="none"/>
              </w:rPr>
              <w:t>）原单位近三年考核结果有“不称职”等次的。</w:t>
            </w:r>
          </w:p>
        </w:tc>
      </w:tr>
    </w:tbl>
    <w:p w14:paraId="317855D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exact"/>
        <w:textAlignment w:val="auto"/>
        <w:rPr>
          <w:rFonts w:hint="eastAsia"/>
          <w:sz w:val="36"/>
          <w:szCs w:val="36"/>
        </w:rPr>
      </w:pPr>
    </w:p>
    <w:sectPr>
      <w:pgSz w:w="11906" w:h="16838"/>
      <w:pgMar w:top="1440" w:right="1080" w:bottom="898" w:left="1080" w:header="851" w:footer="77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0E1FB">
    <w:pPr>
      <w:pStyle w:val="3"/>
      <w:wordWrap w:val="0"/>
      <w:ind w:right="280"/>
      <w:rPr>
        <w:rFonts w:hint="eastAsia"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3B5E9">
    <w:pPr>
      <w:pStyle w:val="3"/>
      <w:ind w:left="280"/>
      <w:rPr>
        <w:rFonts w:hint="eastAsia"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FD80">
    <w:pPr>
      <w:pStyle w:val="3"/>
      <w:wordWrap w:val="0"/>
      <w:ind w:right="280"/>
      <w:rPr>
        <w:rFonts w:hint="eastAsia"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F01F1">
    <w:pPr>
      <w:pStyle w:val="3"/>
      <w:ind w:left="280"/>
      <w:rPr>
        <w:rFonts w:hint="eastAsia" w:ascii="宋体" w:hAnsi="宋体"/>
        <w:sz w:val="28"/>
        <w:szCs w:val="2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435B1">
    <w:pPr>
      <w:pStyle w:val="3"/>
      <w:wordWrap w:val="0"/>
      <w:ind w:right="280"/>
      <w:rPr>
        <w:rFonts w:hint="eastAsia" w:ascii="宋体" w:hAnsi="宋体"/>
        <w:sz w:val="28"/>
        <w:szCs w:val="2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1B774">
    <w:pPr>
      <w:pStyle w:val="3"/>
      <w:ind w:left="280"/>
      <w:rPr>
        <w:rFonts w:hint="eastAsia"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5EB14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left"/>
      <w:rPr>
        <w:rFonts w:hint="eastAsia" w:ascii="黑体" w:hAnsi="黑体" w:eastAsia="黑体" w:cs="黑体"/>
        <w:sz w:val="28"/>
      </w:rPr>
    </w:pPr>
    <w:r>
      <w:rPr>
        <w:rFonts w:hint="eastAsia" w:ascii="黑体" w:hAnsi="黑体" w:eastAsia="黑体" w:cs="黑体"/>
        <w:sz w:val="28"/>
      </w:rPr>
      <w:t>附件</w:t>
    </w:r>
    <w:r>
      <w:rPr>
        <w:rFonts w:hint="eastAsia" w:ascii="黑体" w:hAnsi="黑体" w:eastAsia="黑体" w:cs="黑体"/>
        <w:sz w:val="28"/>
        <w:lang w:val="en-US" w:eastAsia="zh-CN"/>
      </w:rPr>
      <w:t>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FDF7C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left"/>
      <w:rPr>
        <w:rFonts w:hint="eastAsia" w:ascii="黑体" w:hAnsi="黑体" w:eastAsia="黑体" w:cs="黑体"/>
        <w:sz w:val="28"/>
      </w:rPr>
    </w:pPr>
    <w:r>
      <w:rPr>
        <w:rFonts w:hint="eastAsia" w:ascii="黑体" w:hAnsi="黑体" w:eastAsia="黑体" w:cs="黑体"/>
        <w:sz w:val="28"/>
      </w:rPr>
      <w:t>附件</w:t>
    </w:r>
    <w:r>
      <w:rPr>
        <w:rFonts w:hint="eastAsia" w:ascii="黑体" w:hAnsi="黑体" w:eastAsia="黑体" w:cs="黑体"/>
        <w:sz w:val="28"/>
        <w:lang w:val="en-US" w:eastAsia="zh-CN"/>
      </w:rPr>
      <w:t>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945AFA"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left"/>
      <w:rPr>
        <w:rFonts w:hint="eastAsia" w:ascii="黑体" w:hAnsi="黑体" w:eastAsia="黑体" w:cs="黑体"/>
        <w:sz w:val="28"/>
      </w:rPr>
    </w:pPr>
    <w:r>
      <w:rPr>
        <w:rFonts w:hint="eastAsia" w:ascii="黑体" w:hAnsi="黑体" w:eastAsia="黑体" w:cs="黑体"/>
        <w:sz w:val="28"/>
      </w:rPr>
      <w:t>附件</w:t>
    </w:r>
    <w:r>
      <w:rPr>
        <w:rFonts w:hint="eastAsia" w:ascii="黑体" w:hAnsi="黑体" w:eastAsia="黑体" w:cs="黑体"/>
        <w:sz w:val="28"/>
        <w:lang w:val="en-US" w:eastAsia="zh-CN"/>
      </w:rPr>
      <w:t>1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F6C58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D522C"/>
    <w:multiLevelType w:val="multilevel"/>
    <w:tmpl w:val="017D522C"/>
    <w:lvl w:ilvl="0" w:tentative="0">
      <w:start w:val="1"/>
      <w:numFmt w:val="chineseCountingThousand"/>
      <w:pStyle w:val="15"/>
      <w:suff w:val="nothing"/>
      <w:lvlText w:val="%1、"/>
      <w:lvlJc w:val="left"/>
      <w:pPr>
        <w:ind w:left="0" w:firstLine="64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1B0C5336"/>
    <w:multiLevelType w:val="multilevel"/>
    <w:tmpl w:val="1B0C5336"/>
    <w:lvl w:ilvl="0" w:tentative="0">
      <w:start w:val="1"/>
      <w:numFmt w:val="decimal"/>
      <w:pStyle w:val="20"/>
      <w:lvlText w:val="%1."/>
      <w:lvlJc w:val="left"/>
      <w:pPr>
        <w:tabs>
          <w:tab w:val="left" w:pos="1120"/>
        </w:tabs>
        <w:ind w:left="0" w:firstLine="64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48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0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2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4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6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8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20" w:hanging="420"/>
      </w:pPr>
      <w:rPr>
        <w:rFonts w:hint="eastAsia"/>
      </w:rPr>
    </w:lvl>
  </w:abstractNum>
  <w:abstractNum w:abstractNumId="2">
    <w:nsid w:val="2A9970A1"/>
    <w:multiLevelType w:val="multilevel"/>
    <w:tmpl w:val="2A9970A1"/>
    <w:lvl w:ilvl="0" w:tentative="0">
      <w:start w:val="1"/>
      <w:numFmt w:val="chineseCountingThousand"/>
      <w:lvlText w:val="(%1)"/>
      <w:lvlJc w:val="left"/>
      <w:pPr>
        <w:ind w:left="1063" w:hanging="420"/>
      </w:p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4571406C"/>
    <w:multiLevelType w:val="multilevel"/>
    <w:tmpl w:val="4571406C"/>
    <w:lvl w:ilvl="0" w:tentative="0">
      <w:start w:val="1"/>
      <w:numFmt w:val="decimal"/>
      <w:pStyle w:val="24"/>
      <w:lvlText w:val="(%1)"/>
      <w:lvlJc w:val="left"/>
      <w:pPr>
        <w:tabs>
          <w:tab w:val="left" w:pos="1280"/>
        </w:tabs>
        <w:ind w:left="0" w:firstLine="643"/>
      </w:pPr>
      <w:rPr>
        <w:rFonts w:hint="eastAsia"/>
        <w:b w:val="0"/>
        <w:bCs/>
      </w:rPr>
    </w:lvl>
    <w:lvl w:ilvl="1" w:tentative="0">
      <w:start w:val="1"/>
      <w:numFmt w:val="lowerLetter"/>
      <w:lvlText w:val="%2)"/>
      <w:lvlJc w:val="left"/>
      <w:pPr>
        <w:ind w:left="1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4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423" w:hanging="420"/>
      </w:pPr>
      <w:rPr>
        <w:rFonts w:hint="eastAsia"/>
      </w:rPr>
    </w:lvl>
  </w:abstractNum>
  <w:num w:numId="1">
    <w:abstractNumId w:val="0"/>
  </w:num>
  <w:num w:numId="2">
    <w:abstractNumId w:val="2"/>
    <w:lvlOverride w:ilvl="0">
      <w:lvl w:ilvl="0" w:tentative="1">
        <w:start w:val="1"/>
        <w:numFmt w:val="chineseCountingThousand"/>
        <w:pStyle w:val="17"/>
        <w:lvlText w:val="(%1)"/>
        <w:lvlJc w:val="left"/>
        <w:pPr>
          <w:tabs>
            <w:tab w:val="left" w:pos="1440"/>
          </w:tabs>
          <w:ind w:left="0" w:firstLine="643"/>
        </w:pPr>
        <w:rPr>
          <w:rFonts w:ascii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snapToGrid w:val="0"/>
          <w:vanish w:val="0"/>
          <w:color w:val="000000"/>
          <w:spacing w:val="0"/>
          <w:w w:val="0"/>
          <w:kern w:val="0"/>
          <w:position w:val="0"/>
          <w:sz w:val="0"/>
          <w:szCs w:val="0"/>
          <w:u w:val="none" w:color="000000"/>
          <w:shd w:val="clear" w:color="000000" w:fill="000000"/>
          <w:vertAlign w:val="baseline"/>
          <w:lang w:val="zh-CN" w:eastAsia="zh-CN" w:bidi="zh-CN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none"/>
          <w14:scene3d>
            <w14:lightRig w14:rig="threePt" w14:dir="t">
              <w14:rot w14:lat="0" w14:lon="0" w14:rev="0"/>
            </w14:lightRig>
          </w14:scene3d>
          <w14:ligatures w14:val="none"/>
          <w14:numForm w14:val="default"/>
          <w14:numSpacing w14:val="default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E76"/>
    <w:rsid w:val="00003C24"/>
    <w:rsid w:val="000065BC"/>
    <w:rsid w:val="0000797C"/>
    <w:rsid w:val="00031DC9"/>
    <w:rsid w:val="00037CB0"/>
    <w:rsid w:val="00050125"/>
    <w:rsid w:val="00050630"/>
    <w:rsid w:val="00054494"/>
    <w:rsid w:val="00070FF6"/>
    <w:rsid w:val="00074042"/>
    <w:rsid w:val="0007426B"/>
    <w:rsid w:val="000758E0"/>
    <w:rsid w:val="0009222C"/>
    <w:rsid w:val="000A179A"/>
    <w:rsid w:val="000A2715"/>
    <w:rsid w:val="000B1874"/>
    <w:rsid w:val="000C3F90"/>
    <w:rsid w:val="000D59CA"/>
    <w:rsid w:val="000E4A6D"/>
    <w:rsid w:val="000E5070"/>
    <w:rsid w:val="000F126D"/>
    <w:rsid w:val="00111B81"/>
    <w:rsid w:val="00127B88"/>
    <w:rsid w:val="001673F4"/>
    <w:rsid w:val="0018470F"/>
    <w:rsid w:val="00186A7A"/>
    <w:rsid w:val="001C3358"/>
    <w:rsid w:val="001D27A7"/>
    <w:rsid w:val="001D7795"/>
    <w:rsid w:val="00200CC5"/>
    <w:rsid w:val="00204300"/>
    <w:rsid w:val="00213EA4"/>
    <w:rsid w:val="00230AED"/>
    <w:rsid w:val="0023349B"/>
    <w:rsid w:val="002374E6"/>
    <w:rsid w:val="00243F4A"/>
    <w:rsid w:val="00252333"/>
    <w:rsid w:val="00263E46"/>
    <w:rsid w:val="00282EF3"/>
    <w:rsid w:val="002A4F0E"/>
    <w:rsid w:val="002C3074"/>
    <w:rsid w:val="002C6592"/>
    <w:rsid w:val="002D1F34"/>
    <w:rsid w:val="002E2DF3"/>
    <w:rsid w:val="003154BE"/>
    <w:rsid w:val="00350E76"/>
    <w:rsid w:val="003618B5"/>
    <w:rsid w:val="00365B57"/>
    <w:rsid w:val="0036612E"/>
    <w:rsid w:val="00372329"/>
    <w:rsid w:val="00373D98"/>
    <w:rsid w:val="003838EB"/>
    <w:rsid w:val="003A59BB"/>
    <w:rsid w:val="003C3E33"/>
    <w:rsid w:val="003E47AA"/>
    <w:rsid w:val="003E5748"/>
    <w:rsid w:val="003F6864"/>
    <w:rsid w:val="00405D95"/>
    <w:rsid w:val="00407900"/>
    <w:rsid w:val="004122BE"/>
    <w:rsid w:val="00442A78"/>
    <w:rsid w:val="004557DC"/>
    <w:rsid w:val="0046076E"/>
    <w:rsid w:val="004640BD"/>
    <w:rsid w:val="00474089"/>
    <w:rsid w:val="00484671"/>
    <w:rsid w:val="004943C9"/>
    <w:rsid w:val="004A1389"/>
    <w:rsid w:val="004D1343"/>
    <w:rsid w:val="004D4964"/>
    <w:rsid w:val="004E7E43"/>
    <w:rsid w:val="004F1DFD"/>
    <w:rsid w:val="004F3B76"/>
    <w:rsid w:val="004F47C9"/>
    <w:rsid w:val="00504A4B"/>
    <w:rsid w:val="00510D9D"/>
    <w:rsid w:val="0051467E"/>
    <w:rsid w:val="00524A88"/>
    <w:rsid w:val="00552C1B"/>
    <w:rsid w:val="00553855"/>
    <w:rsid w:val="00556875"/>
    <w:rsid w:val="00567182"/>
    <w:rsid w:val="0059554D"/>
    <w:rsid w:val="005B26C6"/>
    <w:rsid w:val="005B7FDC"/>
    <w:rsid w:val="005D6417"/>
    <w:rsid w:val="006006E9"/>
    <w:rsid w:val="0060767C"/>
    <w:rsid w:val="00626333"/>
    <w:rsid w:val="0064591B"/>
    <w:rsid w:val="006548E6"/>
    <w:rsid w:val="00680CCE"/>
    <w:rsid w:val="00687D67"/>
    <w:rsid w:val="006A2C4D"/>
    <w:rsid w:val="006A6DFD"/>
    <w:rsid w:val="006A7F6C"/>
    <w:rsid w:val="006B3369"/>
    <w:rsid w:val="006F0E56"/>
    <w:rsid w:val="0070364D"/>
    <w:rsid w:val="007201D6"/>
    <w:rsid w:val="00720B19"/>
    <w:rsid w:val="00723EBF"/>
    <w:rsid w:val="00752CE1"/>
    <w:rsid w:val="007549FF"/>
    <w:rsid w:val="007678CD"/>
    <w:rsid w:val="00780937"/>
    <w:rsid w:val="00793B91"/>
    <w:rsid w:val="00793BEA"/>
    <w:rsid w:val="0079427B"/>
    <w:rsid w:val="007964F9"/>
    <w:rsid w:val="007A407B"/>
    <w:rsid w:val="007B5BDF"/>
    <w:rsid w:val="007E38CC"/>
    <w:rsid w:val="00812385"/>
    <w:rsid w:val="00817512"/>
    <w:rsid w:val="00822812"/>
    <w:rsid w:val="00822D72"/>
    <w:rsid w:val="00844056"/>
    <w:rsid w:val="008539C9"/>
    <w:rsid w:val="00895FD2"/>
    <w:rsid w:val="008B04BF"/>
    <w:rsid w:val="008B1542"/>
    <w:rsid w:val="008B3F3B"/>
    <w:rsid w:val="008C2C5A"/>
    <w:rsid w:val="008C3CB4"/>
    <w:rsid w:val="008C65F0"/>
    <w:rsid w:val="008D4ECB"/>
    <w:rsid w:val="008D610F"/>
    <w:rsid w:val="008E0C5E"/>
    <w:rsid w:val="008E7143"/>
    <w:rsid w:val="008F3626"/>
    <w:rsid w:val="00905217"/>
    <w:rsid w:val="009107C8"/>
    <w:rsid w:val="00912CD0"/>
    <w:rsid w:val="00925697"/>
    <w:rsid w:val="00933D15"/>
    <w:rsid w:val="0093492C"/>
    <w:rsid w:val="00942A75"/>
    <w:rsid w:val="0094361B"/>
    <w:rsid w:val="00943DCE"/>
    <w:rsid w:val="0094469B"/>
    <w:rsid w:val="009466A8"/>
    <w:rsid w:val="00954901"/>
    <w:rsid w:val="00954F63"/>
    <w:rsid w:val="00961552"/>
    <w:rsid w:val="009720B0"/>
    <w:rsid w:val="00976790"/>
    <w:rsid w:val="0098331E"/>
    <w:rsid w:val="009D7AEF"/>
    <w:rsid w:val="009F70CB"/>
    <w:rsid w:val="00A006B4"/>
    <w:rsid w:val="00A0371F"/>
    <w:rsid w:val="00A067FB"/>
    <w:rsid w:val="00A07982"/>
    <w:rsid w:val="00A07C2E"/>
    <w:rsid w:val="00A1116C"/>
    <w:rsid w:val="00A252D4"/>
    <w:rsid w:val="00A607F0"/>
    <w:rsid w:val="00A912AC"/>
    <w:rsid w:val="00A967CD"/>
    <w:rsid w:val="00AA3CA8"/>
    <w:rsid w:val="00AA7E92"/>
    <w:rsid w:val="00AC0284"/>
    <w:rsid w:val="00AD5DB2"/>
    <w:rsid w:val="00AE179C"/>
    <w:rsid w:val="00AE7195"/>
    <w:rsid w:val="00B17E19"/>
    <w:rsid w:val="00B20E2F"/>
    <w:rsid w:val="00B22783"/>
    <w:rsid w:val="00B24F12"/>
    <w:rsid w:val="00B50096"/>
    <w:rsid w:val="00B514FA"/>
    <w:rsid w:val="00B63262"/>
    <w:rsid w:val="00B83B73"/>
    <w:rsid w:val="00BA28B5"/>
    <w:rsid w:val="00BB0C5C"/>
    <w:rsid w:val="00BD1EFD"/>
    <w:rsid w:val="00BD278E"/>
    <w:rsid w:val="00BD5342"/>
    <w:rsid w:val="00BD54C6"/>
    <w:rsid w:val="00BE34F3"/>
    <w:rsid w:val="00BF5567"/>
    <w:rsid w:val="00C0011A"/>
    <w:rsid w:val="00C264AF"/>
    <w:rsid w:val="00C54225"/>
    <w:rsid w:val="00C57283"/>
    <w:rsid w:val="00C7016D"/>
    <w:rsid w:val="00C8580A"/>
    <w:rsid w:val="00C9750C"/>
    <w:rsid w:val="00CB48D3"/>
    <w:rsid w:val="00CD6EFF"/>
    <w:rsid w:val="00CE3ABB"/>
    <w:rsid w:val="00CF7F3B"/>
    <w:rsid w:val="00D01681"/>
    <w:rsid w:val="00D34D61"/>
    <w:rsid w:val="00D505CC"/>
    <w:rsid w:val="00D6192E"/>
    <w:rsid w:val="00D77FA1"/>
    <w:rsid w:val="00D90902"/>
    <w:rsid w:val="00D97F45"/>
    <w:rsid w:val="00DA1F69"/>
    <w:rsid w:val="00DD6A1D"/>
    <w:rsid w:val="00E32831"/>
    <w:rsid w:val="00E37D23"/>
    <w:rsid w:val="00E61AC1"/>
    <w:rsid w:val="00E63C91"/>
    <w:rsid w:val="00E64AF9"/>
    <w:rsid w:val="00E95897"/>
    <w:rsid w:val="00EB70E0"/>
    <w:rsid w:val="00ED536E"/>
    <w:rsid w:val="00F10AFD"/>
    <w:rsid w:val="00F41C56"/>
    <w:rsid w:val="00F46200"/>
    <w:rsid w:val="00F66ADD"/>
    <w:rsid w:val="00F85A40"/>
    <w:rsid w:val="00FB2B1E"/>
    <w:rsid w:val="00FC44FF"/>
    <w:rsid w:val="00FD0E4E"/>
    <w:rsid w:val="00FD6F5A"/>
    <w:rsid w:val="00FE324A"/>
    <w:rsid w:val="00FE4E5E"/>
    <w:rsid w:val="01287E75"/>
    <w:rsid w:val="01F462C4"/>
    <w:rsid w:val="0368520A"/>
    <w:rsid w:val="054D74BC"/>
    <w:rsid w:val="05BE6A22"/>
    <w:rsid w:val="05F17DCE"/>
    <w:rsid w:val="07246EC6"/>
    <w:rsid w:val="07886BEA"/>
    <w:rsid w:val="07EF7893"/>
    <w:rsid w:val="0A534AFF"/>
    <w:rsid w:val="0B325AFC"/>
    <w:rsid w:val="0B863BF7"/>
    <w:rsid w:val="0E4B5E9A"/>
    <w:rsid w:val="0E52758D"/>
    <w:rsid w:val="128A4CEF"/>
    <w:rsid w:val="12C41E93"/>
    <w:rsid w:val="136F353C"/>
    <w:rsid w:val="14B33D84"/>
    <w:rsid w:val="155D54CA"/>
    <w:rsid w:val="15761980"/>
    <w:rsid w:val="177D4EA5"/>
    <w:rsid w:val="181B0E9A"/>
    <w:rsid w:val="19541E46"/>
    <w:rsid w:val="1A466C29"/>
    <w:rsid w:val="1AAE5354"/>
    <w:rsid w:val="1C0539CF"/>
    <w:rsid w:val="1D783268"/>
    <w:rsid w:val="1F13300A"/>
    <w:rsid w:val="1FDD5F55"/>
    <w:rsid w:val="21E37C7F"/>
    <w:rsid w:val="229B3174"/>
    <w:rsid w:val="233C0879"/>
    <w:rsid w:val="23517846"/>
    <w:rsid w:val="25D71AA3"/>
    <w:rsid w:val="283B6D0F"/>
    <w:rsid w:val="294C485F"/>
    <w:rsid w:val="2C393D1C"/>
    <w:rsid w:val="2E3C5D6E"/>
    <w:rsid w:val="3300373A"/>
    <w:rsid w:val="348710A9"/>
    <w:rsid w:val="3499007F"/>
    <w:rsid w:val="39976EFE"/>
    <w:rsid w:val="3AAC484B"/>
    <w:rsid w:val="3EEE3DD0"/>
    <w:rsid w:val="3FBC7B10"/>
    <w:rsid w:val="415B6A48"/>
    <w:rsid w:val="4426495C"/>
    <w:rsid w:val="45570552"/>
    <w:rsid w:val="47560017"/>
    <w:rsid w:val="4DCF5983"/>
    <w:rsid w:val="4EDE3DA4"/>
    <w:rsid w:val="4EE95E85"/>
    <w:rsid w:val="4EF90834"/>
    <w:rsid w:val="4F0B22DA"/>
    <w:rsid w:val="504F4D66"/>
    <w:rsid w:val="50E068BB"/>
    <w:rsid w:val="513C3651"/>
    <w:rsid w:val="52457649"/>
    <w:rsid w:val="528021E8"/>
    <w:rsid w:val="53B70907"/>
    <w:rsid w:val="55FC7226"/>
    <w:rsid w:val="587A37B8"/>
    <w:rsid w:val="5A3211DB"/>
    <w:rsid w:val="5A9A2990"/>
    <w:rsid w:val="5D1C6708"/>
    <w:rsid w:val="5DAC78BD"/>
    <w:rsid w:val="5DE83FE9"/>
    <w:rsid w:val="5E0E7961"/>
    <w:rsid w:val="5EDE0F33"/>
    <w:rsid w:val="5EE834BB"/>
    <w:rsid w:val="5EF05DFC"/>
    <w:rsid w:val="60DA7A74"/>
    <w:rsid w:val="6236278F"/>
    <w:rsid w:val="62B0403E"/>
    <w:rsid w:val="63A01501"/>
    <w:rsid w:val="67A40418"/>
    <w:rsid w:val="6CD31019"/>
    <w:rsid w:val="6CEA555F"/>
    <w:rsid w:val="6D9F19E7"/>
    <w:rsid w:val="6E876DD5"/>
    <w:rsid w:val="6F280779"/>
    <w:rsid w:val="71F471BA"/>
    <w:rsid w:val="78F84CDB"/>
    <w:rsid w:val="79D6588F"/>
    <w:rsid w:val="7A62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4"/>
    <w:qFormat/>
    <w:uiPriority w:val="99"/>
    <w:rPr>
      <w:sz w:val="18"/>
      <w:szCs w:val="18"/>
    </w:rPr>
  </w:style>
  <w:style w:type="character" w:customStyle="1" w:styleId="10">
    <w:name w:val="页脚 字符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link w:val="18"/>
    <w:qFormat/>
    <w:uiPriority w:val="34"/>
    <w:pPr>
      <w:ind w:firstLine="420" w:firstLineChars="200"/>
    </w:pPr>
  </w:style>
  <w:style w:type="character" w:customStyle="1" w:styleId="12">
    <w:name w:val="批注框文本 字符"/>
    <w:link w:val="2"/>
    <w:semiHidden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rFonts w:eastAsia="Calibri"/>
      <w:sz w:val="21"/>
    </w:rPr>
  </w:style>
  <w:style w:type="paragraph" w:customStyle="1" w:styleId="14">
    <w:name w:val="公文标题"/>
    <w:basedOn w:val="1"/>
    <w:link w:val="16"/>
    <w:qFormat/>
    <w:uiPriority w:val="0"/>
    <w:pPr>
      <w:spacing w:after="578" w:line="578" w:lineRule="exact"/>
      <w:jc w:val="center"/>
    </w:pPr>
    <w:rPr>
      <w:rFonts w:ascii="方正小标宋简体" w:hAnsi="宋体" w:eastAsia="方正小标宋简体"/>
      <w:sz w:val="44"/>
      <w:szCs w:val="44"/>
    </w:rPr>
  </w:style>
  <w:style w:type="paragraph" w:customStyle="1" w:styleId="15">
    <w:name w:val="1级标题"/>
    <w:basedOn w:val="11"/>
    <w:link w:val="19"/>
    <w:qFormat/>
    <w:uiPriority w:val="0"/>
    <w:pPr>
      <w:numPr>
        <w:ilvl w:val="0"/>
        <w:numId w:val="1"/>
      </w:numPr>
      <w:tabs>
        <w:tab w:val="left" w:pos="1120"/>
      </w:tabs>
      <w:spacing w:line="578" w:lineRule="exact"/>
      <w:ind w:firstLine="641" w:firstLineChars="0"/>
      <w:outlineLvl w:val="0"/>
    </w:pPr>
    <w:rPr>
      <w:rFonts w:ascii="黑体" w:hAnsi="黑体" w:eastAsia="黑体"/>
      <w:sz w:val="32"/>
      <w:szCs w:val="32"/>
    </w:rPr>
  </w:style>
  <w:style w:type="character" w:customStyle="1" w:styleId="16">
    <w:name w:val="公文标题 字符"/>
    <w:link w:val="14"/>
    <w:qFormat/>
    <w:uiPriority w:val="0"/>
    <w:rPr>
      <w:rFonts w:ascii="方正小标宋简体" w:hAnsi="宋体" w:eastAsia="方正小标宋简体"/>
      <w:kern w:val="2"/>
      <w:sz w:val="44"/>
      <w:szCs w:val="44"/>
    </w:rPr>
  </w:style>
  <w:style w:type="paragraph" w:customStyle="1" w:styleId="17">
    <w:name w:val="2级标题"/>
    <w:basedOn w:val="1"/>
    <w:link w:val="21"/>
    <w:qFormat/>
    <w:uiPriority w:val="0"/>
    <w:pPr>
      <w:numPr>
        <w:ilvl w:val="0"/>
        <w:numId w:val="2"/>
      </w:numPr>
      <w:spacing w:line="578" w:lineRule="exact"/>
      <w:ind w:firstLine="641"/>
      <w:outlineLvl w:val="1"/>
    </w:pPr>
    <w:rPr>
      <w:rFonts w:ascii="楷体_GB2312" w:hAnsi="楷体" w:eastAsia="楷体_GB2312"/>
      <w:b/>
      <w:sz w:val="32"/>
      <w:szCs w:val="32"/>
    </w:rPr>
  </w:style>
  <w:style w:type="character" w:customStyle="1" w:styleId="18">
    <w:name w:val="列表段落 字符"/>
    <w:link w:val="11"/>
    <w:qFormat/>
    <w:uiPriority w:val="34"/>
    <w:rPr>
      <w:kern w:val="2"/>
      <w:sz w:val="21"/>
      <w:szCs w:val="22"/>
    </w:rPr>
  </w:style>
  <w:style w:type="character" w:customStyle="1" w:styleId="19">
    <w:name w:val="1级标题 字符"/>
    <w:link w:val="15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20">
    <w:name w:val="3级标题"/>
    <w:basedOn w:val="1"/>
    <w:link w:val="23"/>
    <w:qFormat/>
    <w:uiPriority w:val="0"/>
    <w:pPr>
      <w:numPr>
        <w:ilvl w:val="0"/>
        <w:numId w:val="3"/>
      </w:numPr>
      <w:spacing w:line="578" w:lineRule="exact"/>
      <w:outlineLvl w:val="2"/>
    </w:pPr>
    <w:rPr>
      <w:rFonts w:ascii="仿宋_GB2312" w:eastAsia="仿宋_GB2312"/>
      <w:b/>
      <w:sz w:val="32"/>
      <w:szCs w:val="32"/>
    </w:rPr>
  </w:style>
  <w:style w:type="character" w:customStyle="1" w:styleId="21">
    <w:name w:val="2级标题 字符"/>
    <w:link w:val="17"/>
    <w:qFormat/>
    <w:uiPriority w:val="0"/>
    <w:rPr>
      <w:rFonts w:ascii="楷体_GB2312" w:hAnsi="楷体" w:eastAsia="楷体_GB2312"/>
      <w:b/>
      <w:kern w:val="2"/>
      <w:sz w:val="32"/>
      <w:szCs w:val="32"/>
    </w:rPr>
  </w:style>
  <w:style w:type="paragraph" w:customStyle="1" w:styleId="22">
    <w:name w:val="公文正文"/>
    <w:basedOn w:val="1"/>
    <w:link w:val="25"/>
    <w:qFormat/>
    <w:uiPriority w:val="0"/>
    <w:pPr>
      <w:spacing w:line="578" w:lineRule="exact"/>
      <w:ind w:firstLine="640" w:firstLineChars="200"/>
    </w:pPr>
    <w:rPr>
      <w:rFonts w:ascii="仿宋_GB2312" w:eastAsia="仿宋_GB2312"/>
      <w:sz w:val="32"/>
      <w:szCs w:val="32"/>
    </w:rPr>
  </w:style>
  <w:style w:type="character" w:customStyle="1" w:styleId="23">
    <w:name w:val="3级标题 字符"/>
    <w:link w:val="20"/>
    <w:qFormat/>
    <w:uiPriority w:val="0"/>
    <w:rPr>
      <w:rFonts w:ascii="仿宋_GB2312" w:eastAsia="仿宋_GB2312"/>
      <w:b/>
      <w:kern w:val="2"/>
      <w:sz w:val="32"/>
      <w:szCs w:val="32"/>
    </w:rPr>
  </w:style>
  <w:style w:type="paragraph" w:customStyle="1" w:styleId="24">
    <w:name w:val="4级标题"/>
    <w:basedOn w:val="1"/>
    <w:link w:val="27"/>
    <w:qFormat/>
    <w:uiPriority w:val="0"/>
    <w:pPr>
      <w:numPr>
        <w:ilvl w:val="0"/>
        <w:numId w:val="4"/>
      </w:numPr>
      <w:spacing w:line="578" w:lineRule="exact"/>
      <w:outlineLvl w:val="3"/>
    </w:pPr>
    <w:rPr>
      <w:rFonts w:ascii="仿宋_GB2312" w:eastAsia="仿宋_GB2312"/>
      <w:b/>
      <w:sz w:val="32"/>
      <w:szCs w:val="32"/>
    </w:rPr>
  </w:style>
  <w:style w:type="character" w:customStyle="1" w:styleId="25">
    <w:name w:val="公文正文 字符"/>
    <w:link w:val="22"/>
    <w:qFormat/>
    <w:uiPriority w:val="0"/>
    <w:rPr>
      <w:rFonts w:ascii="仿宋_GB2312" w:eastAsia="仿宋_GB2312"/>
      <w:kern w:val="2"/>
      <w:sz w:val="32"/>
      <w:szCs w:val="32"/>
    </w:rPr>
  </w:style>
  <w:style w:type="paragraph" w:customStyle="1" w:styleId="26">
    <w:name w:val="附件标记"/>
    <w:basedOn w:val="1"/>
    <w:link w:val="28"/>
    <w:qFormat/>
    <w:uiPriority w:val="0"/>
    <w:pPr>
      <w:spacing w:after="578" w:line="578" w:lineRule="exact"/>
      <w:outlineLvl w:val="0"/>
    </w:pPr>
    <w:rPr>
      <w:rFonts w:ascii="黑体" w:hAnsi="黑体" w:eastAsia="黑体"/>
      <w:sz w:val="32"/>
      <w:szCs w:val="32"/>
    </w:rPr>
  </w:style>
  <w:style w:type="character" w:customStyle="1" w:styleId="27">
    <w:name w:val="4级标题 字符"/>
    <w:link w:val="24"/>
    <w:qFormat/>
    <w:uiPriority w:val="0"/>
    <w:rPr>
      <w:rFonts w:ascii="仿宋_GB2312" w:eastAsia="仿宋_GB2312"/>
      <w:b/>
      <w:kern w:val="2"/>
      <w:sz w:val="32"/>
      <w:szCs w:val="32"/>
    </w:rPr>
  </w:style>
  <w:style w:type="character" w:customStyle="1" w:styleId="28">
    <w:name w:val="附件标记 字符"/>
    <w:link w:val="26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29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样式 小四"/>
    <w:qFormat/>
    <w:uiPriority w:val="0"/>
    <w:pPr>
      <w:widowControl w:val="0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0844;&#25991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B8D0D-9209-4802-A3FD-2CD478D4CC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</Template>
  <Company>Microsoft</Company>
  <Pages>7</Pages>
  <Words>1752</Words>
  <Characters>1785</Characters>
  <Lines>6</Lines>
  <Paragraphs>1</Paragraphs>
  <TotalTime>6</TotalTime>
  <ScaleCrop>false</ScaleCrop>
  <LinksUpToDate>false</LinksUpToDate>
  <CharactersWithSpaces>1786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2020-07-09T05:37:00Z</dcterms:created>
  <dc:creator>Microsoft</dc:creator>
  <cp:lastModifiedBy>永远de王子</cp:lastModifiedBy>
  <cp:lastPrinted>2017-08-23T07:08:00Z</cp:lastPrinted>
  <dcterms:modified xsi:type="dcterms:W3CDTF">2025-07-16T09:51:36Z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7EB199AC0F614991A15CE0633A3E3604_13</vt:lpwstr>
  </property>
  <property fmtid="{D5CDD505-2E9C-101B-9397-08002B2CF9AE}" pid="4" name="KSOTemplateDocerSaveRecord">
    <vt:lpwstr>eyJoZGlkIjoiOGZmZWU3NDA4YWY0MmZkYjNmOWZjNDliMzg0YWI4ZmEiLCJ1c2VySWQiOiI2Mzg2NzE2NjgifQ==</vt:lpwstr>
  </property>
</Properties>
</file>