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="0" w:beforeAutospacing="0" w:after="0" w:afterAutospacing="0"/>
        <w:ind w:left="0" w:right="0" w:firstLine="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附件2-2</w:t>
      </w:r>
    </w:p>
    <w:p>
      <w:pPr>
        <w:spacing w:line="60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选定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专业目录</w:t>
      </w:r>
    </w:p>
    <w:p>
      <w:pPr>
        <w:spacing w:line="600" w:lineRule="exact"/>
        <w:jc w:val="both"/>
        <w:rPr>
          <w:rFonts w:ascii="仿宋_GB2312" w:eastAsia="仿宋_GB2312"/>
          <w:b/>
          <w:bCs/>
          <w:sz w:val="33"/>
          <w:szCs w:val="33"/>
        </w:rPr>
      </w:pPr>
    </w:p>
    <w:p>
      <w:pPr>
        <w:widowControl/>
        <w:wordWrap/>
        <w:adjustRightInd/>
        <w:snapToGrid/>
        <w:spacing w:line="560" w:lineRule="exact"/>
        <w:ind w:left="0" w:leftChars="0" w:right="0" w:firstLine="627" w:firstLineChars="196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根据国家教育部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年《普通高等学校本科专业目录》</w:t>
      </w:r>
      <w:r>
        <w:rPr>
          <w:rFonts w:hint="eastAsia" w:eastAsia="仿宋_GB2312" w:cs="Times New Roman"/>
          <w:sz w:val="32"/>
          <w:szCs w:val="32"/>
          <w:lang w:eastAsia="zh-CN"/>
        </w:rPr>
        <w:t>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年《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高等职业教育（专科）专业目录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，结合检察院法律监督工作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和历年招录工作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实际，20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成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铁检察机关</w:t>
      </w:r>
      <w:r>
        <w:rPr>
          <w:rFonts w:hint="eastAsia" w:ascii="仿宋_GB2312" w:eastAsia="仿宋_GB2312"/>
          <w:sz w:val="32"/>
          <w:szCs w:val="32"/>
        </w:rPr>
        <w:t>拟公开招聘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聘用制书记员</w:t>
      </w:r>
      <w:r>
        <w:rPr>
          <w:rFonts w:hint="eastAsia" w:ascii="仿宋_GB2312" w:eastAsia="仿宋_GB2312"/>
          <w:sz w:val="32"/>
          <w:szCs w:val="32"/>
        </w:rPr>
        <w:t>相关专业认定的范围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具体如下：</w:t>
      </w:r>
    </w:p>
    <w:p>
      <w:pPr>
        <w:wordWrap/>
        <w:adjustRightInd/>
        <w:snapToGrid/>
        <w:spacing w:line="560" w:lineRule="exact"/>
        <w:ind w:left="0" w:leftChars="0" w:right="0" w:firstLine="66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3"/>
          <w:szCs w:val="33"/>
        </w:rPr>
      </w:pPr>
      <w:r>
        <w:rPr>
          <w:rFonts w:hint="eastAsia" w:ascii="黑体" w:hAnsi="黑体" w:eastAsia="黑体" w:cs="黑体"/>
          <w:b w:val="0"/>
          <w:bCs w:val="0"/>
          <w:sz w:val="33"/>
          <w:szCs w:val="33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本科专业</w:t>
      </w:r>
    </w:p>
    <w:p>
      <w:pPr>
        <w:wordWrap/>
        <w:adjustRightInd/>
        <w:snapToGrid/>
        <w:spacing w:line="560" w:lineRule="exact"/>
        <w:ind w:left="0" w:leftChars="0" w:right="0" w:firstLine="66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sz w:val="33"/>
          <w:szCs w:val="33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3"/>
          <w:szCs w:val="33"/>
          <w:lang w:eastAsia="zh-CN"/>
        </w:rPr>
        <w:t>（一）</w:t>
      </w:r>
      <w:r>
        <w:rPr>
          <w:rFonts w:hint="eastAsia" w:ascii="楷体_GB2312" w:hAnsi="楷体_GB2312" w:eastAsia="楷体_GB2312" w:cs="楷体_GB2312"/>
          <w:b w:val="0"/>
          <w:bCs w:val="0"/>
          <w:sz w:val="33"/>
          <w:szCs w:val="33"/>
        </w:rPr>
        <w:t>法学类</w:t>
      </w:r>
    </w:p>
    <w:p>
      <w:pPr>
        <w:wordWrap/>
        <w:adjustRightInd/>
        <w:snapToGrid/>
        <w:spacing w:line="560" w:lineRule="exact"/>
        <w:ind w:left="0" w:leftChars="0" w:right="0" w:firstLine="660"/>
        <w:jc w:val="both"/>
        <w:textAlignment w:val="auto"/>
        <w:outlineLvl w:val="9"/>
        <w:rPr>
          <w:rFonts w:hint="default" w:ascii="仿宋_GB2312" w:eastAsia="仿宋_GB2312"/>
          <w:b w:val="0"/>
          <w:bCs w:val="0"/>
          <w:color w:val="000000"/>
          <w:sz w:val="33"/>
          <w:szCs w:val="33"/>
          <w:lang w:val="en-US" w:eastAsia="zh-CN"/>
        </w:rPr>
      </w:pPr>
      <w:r>
        <w:rPr>
          <w:rFonts w:hint="eastAsia" w:ascii="仿宋_GB2312" w:eastAsia="仿宋_GB2312"/>
          <w:b w:val="0"/>
          <w:bCs w:val="0"/>
          <w:color w:val="000000"/>
          <w:sz w:val="33"/>
          <w:szCs w:val="33"/>
          <w:lang w:eastAsia="zh-CN"/>
        </w:rPr>
        <w:t>法学、知识产权、监狱学、信用风险管理与法律防控、国际经贸规则、司法警察学、社区矫正、纪检监察、国际法、司法鉴定学、国家安全学</w:t>
      </w:r>
    </w:p>
    <w:p>
      <w:pPr>
        <w:numPr>
          <w:ilvl w:val="0"/>
          <w:numId w:val="1"/>
        </w:numPr>
        <w:wordWrap/>
        <w:adjustRightInd/>
        <w:snapToGrid/>
        <w:spacing w:line="560" w:lineRule="exact"/>
        <w:ind w:left="0" w:leftChars="0" w:right="0" w:firstLine="66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sz w:val="33"/>
          <w:szCs w:val="33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3"/>
          <w:szCs w:val="33"/>
          <w:lang w:eastAsia="zh-CN"/>
        </w:rPr>
        <w:t>中国语言文学类</w:t>
      </w:r>
    </w:p>
    <w:p>
      <w:pPr>
        <w:wordWrap/>
        <w:adjustRightInd/>
        <w:snapToGrid/>
        <w:spacing w:line="560" w:lineRule="exact"/>
        <w:ind w:left="0" w:leftChars="0" w:right="0" w:firstLine="660"/>
        <w:jc w:val="both"/>
        <w:textAlignment w:val="auto"/>
        <w:outlineLvl w:val="9"/>
        <w:rPr>
          <w:rFonts w:hint="default" w:ascii="仿宋_GB2312" w:eastAsia="仿宋_GB2312"/>
          <w:b w:val="0"/>
          <w:bCs w:val="0"/>
          <w:color w:val="000000"/>
          <w:sz w:val="33"/>
          <w:szCs w:val="33"/>
          <w:lang w:val="en-US" w:eastAsia="zh-CN"/>
        </w:rPr>
      </w:pPr>
      <w:r>
        <w:rPr>
          <w:rFonts w:hint="eastAsia" w:ascii="仿宋_GB2312" w:eastAsia="仿宋_GB2312"/>
          <w:b w:val="0"/>
          <w:bCs w:val="0"/>
          <w:color w:val="000000"/>
          <w:sz w:val="33"/>
          <w:szCs w:val="33"/>
          <w:lang w:val="en-US" w:eastAsia="zh-CN"/>
        </w:rPr>
        <w:t>汉语言文学、汉语言、汉语国际教育、中国少数民族语言文学、古典文献学、应用语言学、秘书学、中国语言与文化、数字人文、中国古典学、汉学与中国学、应用中文</w:t>
      </w:r>
    </w:p>
    <w:p>
      <w:pPr>
        <w:wordWrap/>
        <w:adjustRightInd/>
        <w:snapToGrid/>
        <w:spacing w:line="560" w:lineRule="exact"/>
        <w:ind w:left="0" w:leftChars="0" w:right="0" w:firstLine="66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sz w:val="33"/>
          <w:szCs w:val="33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3"/>
          <w:szCs w:val="33"/>
          <w:lang w:eastAsia="zh-CN"/>
        </w:rPr>
        <w:t>（三）新闻传播学类</w:t>
      </w:r>
    </w:p>
    <w:p>
      <w:pPr>
        <w:wordWrap/>
        <w:adjustRightInd/>
        <w:snapToGrid/>
        <w:spacing w:line="560" w:lineRule="exact"/>
        <w:ind w:left="0" w:leftChars="0" w:right="0" w:firstLine="660" w:firstLineChars="200"/>
        <w:jc w:val="both"/>
        <w:textAlignment w:val="auto"/>
        <w:outlineLvl w:val="9"/>
        <w:rPr>
          <w:rFonts w:hint="eastAsia" w:ascii="仿宋_GB2312" w:eastAsia="仿宋_GB2312"/>
          <w:b w:val="0"/>
          <w:bCs w:val="0"/>
          <w:color w:val="000000"/>
          <w:sz w:val="33"/>
          <w:szCs w:val="33"/>
          <w:lang w:eastAsia="zh-CN"/>
        </w:rPr>
      </w:pPr>
      <w:r>
        <w:rPr>
          <w:rFonts w:hint="eastAsia" w:ascii="仿宋_GB2312" w:eastAsia="仿宋_GB2312"/>
          <w:b w:val="0"/>
          <w:bCs w:val="0"/>
          <w:color w:val="000000"/>
          <w:sz w:val="33"/>
          <w:szCs w:val="33"/>
          <w:lang w:eastAsia="zh-CN"/>
        </w:rPr>
        <w:t>新闻学、广播电视学、广告学、传播学、编辑出版学、网络与新媒体、数字出版、时尚传播、国际新闻与传播</w:t>
      </w:r>
    </w:p>
    <w:p>
      <w:pPr>
        <w:numPr>
          <w:ilvl w:val="0"/>
          <w:numId w:val="0"/>
        </w:numPr>
        <w:tabs>
          <w:tab w:val="left" w:pos="382"/>
        </w:tabs>
        <w:wordWrap/>
        <w:adjustRightInd/>
        <w:snapToGrid/>
        <w:spacing w:line="560" w:lineRule="exact"/>
        <w:ind w:leftChars="200" w:right="0" w:rightChars="0" w:firstLine="330" w:firstLineChars="100"/>
        <w:jc w:val="both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sz w:val="33"/>
          <w:szCs w:val="33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3"/>
          <w:szCs w:val="33"/>
          <w:lang w:eastAsia="zh-CN"/>
        </w:rPr>
        <w:t>（四）财政学类</w:t>
      </w:r>
    </w:p>
    <w:p>
      <w:pPr>
        <w:numPr>
          <w:ilvl w:val="0"/>
          <w:numId w:val="0"/>
        </w:numPr>
        <w:wordWrap/>
        <w:adjustRightInd/>
        <w:snapToGrid/>
        <w:spacing w:line="560" w:lineRule="exact"/>
        <w:ind w:leftChars="200" w:right="0" w:rightChars="0"/>
        <w:jc w:val="both"/>
        <w:textAlignment w:val="auto"/>
        <w:outlineLvl w:val="9"/>
        <w:rPr>
          <w:rFonts w:hint="default" w:ascii="仿宋_GB2312" w:eastAsia="仿宋_GB2312"/>
          <w:b w:val="0"/>
          <w:bCs w:val="0"/>
          <w:color w:val="000000"/>
          <w:sz w:val="33"/>
          <w:szCs w:val="33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3"/>
          <w:szCs w:val="33"/>
          <w:lang w:val="en-US" w:eastAsia="zh-CN"/>
        </w:rPr>
        <w:t xml:space="preserve"> </w:t>
      </w:r>
      <w:r>
        <w:rPr>
          <w:rFonts w:hint="eastAsia" w:ascii="仿宋_GB2312" w:eastAsia="仿宋_GB2312"/>
          <w:b w:val="0"/>
          <w:bCs w:val="0"/>
          <w:color w:val="000000"/>
          <w:sz w:val="33"/>
          <w:szCs w:val="33"/>
          <w:lang w:val="en-US" w:eastAsia="zh-CN"/>
        </w:rPr>
        <w:t xml:space="preserve"> 财政学、税收学、国际税收</w:t>
      </w:r>
    </w:p>
    <w:p>
      <w:pPr>
        <w:numPr>
          <w:ilvl w:val="0"/>
          <w:numId w:val="0"/>
        </w:numPr>
        <w:wordWrap/>
        <w:adjustRightInd/>
        <w:snapToGrid/>
        <w:spacing w:line="560" w:lineRule="exact"/>
        <w:ind w:leftChars="200" w:right="0" w:rightChars="0" w:firstLine="330" w:firstLineChars="100"/>
        <w:jc w:val="both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sz w:val="33"/>
          <w:szCs w:val="33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3"/>
          <w:szCs w:val="33"/>
          <w:lang w:eastAsia="zh-CN"/>
        </w:rPr>
        <w:t>（五）工商管理类</w:t>
      </w:r>
    </w:p>
    <w:p>
      <w:pPr>
        <w:numPr>
          <w:ilvl w:val="0"/>
          <w:numId w:val="0"/>
        </w:numPr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财务管理、会计学、审计学、工商管理、市场营销、国际商务、人力资源管理、资产评估、物业管理、文化产业管理、劳动关系、体育经济与管理、财务会计教育、市场营销教育、零售业管理、创业管理、海关稽查、内部审计</w:t>
      </w:r>
    </w:p>
    <w:p>
      <w:pPr>
        <w:numPr>
          <w:ilvl w:val="0"/>
          <w:numId w:val="0"/>
        </w:numPr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高等职业教育（专科）专业</w:t>
      </w:r>
    </w:p>
    <w:p>
      <w:pPr>
        <w:wordWrap/>
        <w:adjustRightInd/>
        <w:snapToGrid/>
        <w:spacing w:line="560" w:lineRule="exact"/>
        <w:ind w:left="0" w:leftChars="0" w:right="0" w:firstLine="66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sz w:val="33"/>
          <w:szCs w:val="33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3"/>
          <w:szCs w:val="33"/>
          <w:lang w:eastAsia="zh-CN"/>
        </w:rPr>
        <w:t>（一）法律实务类</w:t>
      </w:r>
    </w:p>
    <w:p>
      <w:pPr>
        <w:numPr>
          <w:ilvl w:val="0"/>
          <w:numId w:val="0"/>
        </w:numPr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eastAsia="仿宋_GB2312" w:cs="Times New Roman"/>
          <w:sz w:val="32"/>
          <w:szCs w:val="32"/>
          <w:lang w:eastAsia="zh-CN"/>
        </w:rPr>
      </w:pPr>
      <w:r>
        <w:rPr>
          <w:rFonts w:hint="eastAsia" w:eastAsia="仿宋_GB2312" w:cs="Times New Roman"/>
          <w:sz w:val="32"/>
          <w:szCs w:val="32"/>
          <w:lang w:eastAsia="zh-CN"/>
        </w:rPr>
        <w:t>法律文秘、法律事务、检察事务</w:t>
      </w:r>
    </w:p>
    <w:p>
      <w:pPr>
        <w:wordWrap/>
        <w:adjustRightInd/>
        <w:snapToGrid/>
        <w:spacing w:line="560" w:lineRule="exact"/>
        <w:ind w:left="0" w:leftChars="0" w:right="0" w:firstLine="66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sz w:val="33"/>
          <w:szCs w:val="33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3"/>
          <w:szCs w:val="33"/>
          <w:lang w:eastAsia="zh-CN"/>
        </w:rPr>
        <w:t>（二）司法技术类</w:t>
      </w:r>
    </w:p>
    <w:p>
      <w:pPr>
        <w:numPr>
          <w:ilvl w:val="0"/>
          <w:numId w:val="0"/>
        </w:numPr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eastAsia="仿宋_GB2312" w:cs="Times New Roman"/>
          <w:sz w:val="32"/>
          <w:szCs w:val="32"/>
          <w:lang w:eastAsia="zh-CN"/>
        </w:rPr>
      </w:pPr>
      <w:r>
        <w:rPr>
          <w:rFonts w:hint="eastAsia" w:eastAsia="仿宋_GB2312" w:cs="Times New Roman"/>
          <w:sz w:val="32"/>
          <w:szCs w:val="32"/>
          <w:lang w:eastAsia="zh-CN"/>
        </w:rPr>
        <w:t>刑事侦查技术、司法信息技术、司法鉴定技术、司法信息安全、罪犯心理测量与矫正技术、戒毒矫治技术</w:t>
      </w:r>
    </w:p>
    <w:p>
      <w:pPr>
        <w:wordWrap/>
        <w:adjustRightInd/>
        <w:snapToGrid/>
        <w:spacing w:line="560" w:lineRule="exact"/>
        <w:ind w:left="0" w:leftChars="0" w:right="0" w:firstLine="66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sz w:val="33"/>
          <w:szCs w:val="33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3"/>
          <w:szCs w:val="33"/>
          <w:lang w:eastAsia="zh-CN"/>
        </w:rPr>
        <w:t>（三）新闻出版类</w:t>
      </w:r>
    </w:p>
    <w:p>
      <w:pPr>
        <w:numPr>
          <w:ilvl w:val="0"/>
          <w:numId w:val="0"/>
        </w:numPr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eastAsia="仿宋_GB2312" w:cs="Times New Roman"/>
          <w:sz w:val="32"/>
          <w:szCs w:val="32"/>
          <w:lang w:eastAsia="zh-CN"/>
        </w:rPr>
      </w:pPr>
      <w:r>
        <w:rPr>
          <w:rFonts w:hint="eastAsia" w:eastAsia="仿宋_GB2312" w:cs="Times New Roman"/>
          <w:sz w:val="32"/>
          <w:szCs w:val="32"/>
          <w:lang w:eastAsia="zh-CN"/>
        </w:rPr>
        <w:t>数字图文信息处理技术、网络新闻与传播、出版策划与编辑、出版商务、数字出版、数字媒体设备应用与管理</w:t>
      </w:r>
    </w:p>
    <w:p>
      <w:pPr>
        <w:wordWrap/>
        <w:adjustRightInd/>
        <w:snapToGrid/>
        <w:spacing w:line="560" w:lineRule="exact"/>
        <w:ind w:left="0" w:leftChars="0" w:right="0" w:firstLine="66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sz w:val="33"/>
          <w:szCs w:val="33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3"/>
          <w:szCs w:val="33"/>
          <w:lang w:eastAsia="zh-CN"/>
        </w:rPr>
        <w:t>（四）广播影视类</w:t>
      </w:r>
    </w:p>
    <w:p>
      <w:pPr>
        <w:numPr>
          <w:ilvl w:val="0"/>
          <w:numId w:val="0"/>
        </w:numPr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default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eastAsia="zh-CN"/>
        </w:rPr>
        <w:t>播音与主持、广播影视节目制作、数字广播电视技术、影视编导、新闻采编与制作、影视动画、影视制片管理、影视多媒体技术、影视照明技术与艺术、音像技术、录音技术与艺术、摄影摄像技术、融媒体技术与运营、网络直播与运营、传播与策划、全媒体广告策划与营销、数字影像档案技术</w:t>
      </w:r>
    </w:p>
    <w:p>
      <w:pPr>
        <w:wordWrap/>
        <w:adjustRightInd/>
        <w:snapToGrid/>
        <w:spacing w:line="560" w:lineRule="exact"/>
        <w:ind w:left="0" w:leftChars="0" w:right="0" w:firstLine="66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sz w:val="33"/>
          <w:szCs w:val="33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3"/>
          <w:szCs w:val="33"/>
          <w:lang w:eastAsia="zh-CN"/>
        </w:rPr>
        <w:t>（五）财务会计类</w:t>
      </w:r>
    </w:p>
    <w:p>
      <w:pPr>
        <w:numPr>
          <w:ilvl w:val="0"/>
          <w:numId w:val="0"/>
        </w:numPr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大数据与财务管理、大数据与会计、大数据与审计、会计信息管理、业财数据应用与管理</w:t>
      </w:r>
    </w:p>
    <w:p>
      <w:pPr>
        <w:numPr>
          <w:ilvl w:val="0"/>
          <w:numId w:val="0"/>
        </w:numPr>
        <w:wordWrap/>
        <w:adjustRightInd/>
        <w:snapToGrid/>
        <w:spacing w:line="560" w:lineRule="exact"/>
        <w:ind w:right="0" w:rightChars="0" w:firstLine="66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sz w:val="33"/>
          <w:szCs w:val="33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3"/>
          <w:szCs w:val="33"/>
          <w:lang w:eastAsia="zh-CN"/>
        </w:rPr>
        <w:t>（六）财政税收类</w:t>
      </w:r>
    </w:p>
    <w:p>
      <w:pPr>
        <w:numPr>
          <w:ilvl w:val="0"/>
          <w:numId w:val="0"/>
        </w:numPr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财税大数据应用、资产评估与管理、政府采购管理、财政支出绩效管理</w:t>
      </w:r>
    </w:p>
    <w:p>
      <w:pPr>
        <w:numPr>
          <w:ilvl w:val="0"/>
          <w:numId w:val="0"/>
        </w:numPr>
        <w:wordWrap/>
        <w:adjustRightInd/>
        <w:snapToGrid/>
        <w:spacing w:line="560" w:lineRule="exact"/>
        <w:ind w:right="0" w:rightChars="0" w:firstLine="66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sz w:val="33"/>
          <w:szCs w:val="33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3"/>
          <w:szCs w:val="33"/>
          <w:lang w:val="en-US" w:eastAsia="zh-CN"/>
        </w:rPr>
        <w:t>（七）统计类</w:t>
      </w:r>
    </w:p>
    <w:p>
      <w:pPr>
        <w:numPr>
          <w:ilvl w:val="0"/>
          <w:numId w:val="0"/>
        </w:numPr>
        <w:wordWrap/>
        <w:adjustRightInd/>
        <w:snapToGrid/>
        <w:spacing w:line="560" w:lineRule="exact"/>
        <w:ind w:leftChars="200" w:right="0" w:right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统计与大数据分析、统计与会计核算、</w:t>
      </w:r>
      <w:bookmarkStart w:id="0" w:name="_GoBack"/>
      <w:bookmarkEnd w:id="0"/>
      <w:r>
        <w:rPr>
          <w:rFonts w:hint="eastAsia" w:ascii="仿宋_GB2312" w:hAnsi="等线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市场调查与统计分析</w:t>
      </w:r>
    </w:p>
    <w:sectPr>
      <w:footerReference r:id="rId3" w:type="default"/>
      <w:pgSz w:w="11906" w:h="16838"/>
      <w:pgMar w:top="2098" w:right="1531" w:bottom="1984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431165" cy="42672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1165" cy="426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true"/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.05pt;height:33.6pt;width:33.95pt;mso-position-horizontal:center;mso-position-horizontal-relative:margin;z-index:251658240;mso-width-relative:page;mso-height-relative:page;" filled="f" stroked="f" coordsize="21600,21600" o:gfxdata="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FgAAAGRycy9QSwECFAAUAAAACACHTuJAALEZoNUA&#10;AAADAQAADwAAAAAAAAABACAAAAA4AAAAZHJzL2Rvd25yZXYueG1sUEsBAhQAFAAAAAgAh07iQANH&#10;DLiaAQAAHAMAAA4AAAAAAAAAAQAgAAAAOg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0E2F6F"/>
    <w:multiLevelType w:val="singleLevel"/>
    <w:tmpl w:val="BE0E2F6F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F5C6DF"/>
    <w:rsid w:val="0E5D1DDD"/>
    <w:rsid w:val="1EFFAA2A"/>
    <w:rsid w:val="1F77D3C6"/>
    <w:rsid w:val="1FED4A7E"/>
    <w:rsid w:val="21FD7FD0"/>
    <w:rsid w:val="266388A8"/>
    <w:rsid w:val="27E9BB04"/>
    <w:rsid w:val="2CDEB6FF"/>
    <w:rsid w:val="30B74AFA"/>
    <w:rsid w:val="321F68DD"/>
    <w:rsid w:val="32E6EF67"/>
    <w:rsid w:val="33FF1AA8"/>
    <w:rsid w:val="377F1F9A"/>
    <w:rsid w:val="37BD11F4"/>
    <w:rsid w:val="39FFB8D3"/>
    <w:rsid w:val="3AEB1680"/>
    <w:rsid w:val="3AFC2B89"/>
    <w:rsid w:val="3B49178E"/>
    <w:rsid w:val="3BF98694"/>
    <w:rsid w:val="3C7DBB11"/>
    <w:rsid w:val="3DEB9DD5"/>
    <w:rsid w:val="3ECFEE9A"/>
    <w:rsid w:val="441623D6"/>
    <w:rsid w:val="45F20526"/>
    <w:rsid w:val="47036F7F"/>
    <w:rsid w:val="4B3B1FCA"/>
    <w:rsid w:val="4B67E1FD"/>
    <w:rsid w:val="4BFF66FF"/>
    <w:rsid w:val="4EFFDDC7"/>
    <w:rsid w:val="4FEB9E0E"/>
    <w:rsid w:val="4FEBD282"/>
    <w:rsid w:val="57EC7E57"/>
    <w:rsid w:val="57EF5401"/>
    <w:rsid w:val="5BC93EA4"/>
    <w:rsid w:val="5ED98D98"/>
    <w:rsid w:val="5F27ABC7"/>
    <w:rsid w:val="5FBE0A34"/>
    <w:rsid w:val="5FDF49A4"/>
    <w:rsid w:val="5FEB8D23"/>
    <w:rsid w:val="62F435E7"/>
    <w:rsid w:val="6ADB15EA"/>
    <w:rsid w:val="6FBD72D3"/>
    <w:rsid w:val="6FF53D1D"/>
    <w:rsid w:val="6FFFBC29"/>
    <w:rsid w:val="72FF5456"/>
    <w:rsid w:val="744CD00F"/>
    <w:rsid w:val="752F6944"/>
    <w:rsid w:val="76FD1F88"/>
    <w:rsid w:val="77823B33"/>
    <w:rsid w:val="77A45544"/>
    <w:rsid w:val="77D8DF73"/>
    <w:rsid w:val="77DF7C01"/>
    <w:rsid w:val="7B920C20"/>
    <w:rsid w:val="7BDBD026"/>
    <w:rsid w:val="7BDEE5D4"/>
    <w:rsid w:val="7BEF51A0"/>
    <w:rsid w:val="7BFBE861"/>
    <w:rsid w:val="7C45A41B"/>
    <w:rsid w:val="7D3188FC"/>
    <w:rsid w:val="7E6FFBEA"/>
    <w:rsid w:val="7EBA70C4"/>
    <w:rsid w:val="7EF41B0E"/>
    <w:rsid w:val="7F8B4E47"/>
    <w:rsid w:val="7FAA4181"/>
    <w:rsid w:val="7FAFFEFC"/>
    <w:rsid w:val="7FEB139D"/>
    <w:rsid w:val="7FF1F6CD"/>
    <w:rsid w:val="7FF7723F"/>
    <w:rsid w:val="9DEF8E98"/>
    <w:rsid w:val="9FFFCDF0"/>
    <w:rsid w:val="AB6FC963"/>
    <w:rsid w:val="AD3E0E2E"/>
    <w:rsid w:val="AFFF6B3A"/>
    <w:rsid w:val="B3570640"/>
    <w:rsid w:val="B7FFD220"/>
    <w:rsid w:val="BEDFE91C"/>
    <w:rsid w:val="BF7B8CB3"/>
    <w:rsid w:val="BF7F5051"/>
    <w:rsid w:val="BFFD5DDF"/>
    <w:rsid w:val="BFFF251F"/>
    <w:rsid w:val="CB7CA862"/>
    <w:rsid w:val="D5BFAC33"/>
    <w:rsid w:val="DEDB9BE5"/>
    <w:rsid w:val="DEFFA61F"/>
    <w:rsid w:val="E16DF10F"/>
    <w:rsid w:val="E78FE9A1"/>
    <w:rsid w:val="EFFE713A"/>
    <w:rsid w:val="F196F998"/>
    <w:rsid w:val="F8BFEEF0"/>
    <w:rsid w:val="FBBF6D26"/>
    <w:rsid w:val="FBEE33EC"/>
    <w:rsid w:val="FBF8DDDA"/>
    <w:rsid w:val="FC4FB27D"/>
    <w:rsid w:val="FD9F7A49"/>
    <w:rsid w:val="FEAF5338"/>
    <w:rsid w:val="FEDEAF20"/>
    <w:rsid w:val="FEEF911A"/>
    <w:rsid w:val="FEFF31F9"/>
    <w:rsid w:val="FEFFF8CD"/>
    <w:rsid w:val="FF53D8E1"/>
    <w:rsid w:val="FF713348"/>
    <w:rsid w:val="FFF742C5"/>
    <w:rsid w:val="FFFBED73"/>
    <w:rsid w:val="FFFBF7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宋体"/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2014-11-05T20:08:00Z</dcterms:created>
  <dc:creator>Administrator</dc:creator>
  <cp:lastModifiedBy>盛然</cp:lastModifiedBy>
  <dcterms:modified xsi:type="dcterms:W3CDTF">2025-07-18T15:43:48Z</dcterms:modified>
  <dc:title>附件2-2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