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78" w:lineRule="exact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highlight w:val="none"/>
        </w:rPr>
        <w:t>法学类</w:t>
      </w: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highlight w:val="none"/>
          <w:lang w:eastAsia="zh-CN"/>
        </w:rPr>
        <w:t>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法律事务、法律、律师、法学、比较法学、知识产权、知识产权法、知识产权法学、监狱学、电子商务与法律、法学理论、法律史、中国刑法学、经济刑法学、犯罪学、宪法与行政法学、宪法学与行政法学、刑法、刑法学、民法、民法学、刑事诉讼法学、商法、国际商法、民商法、民商法学、诉讼法、诉讼法学、经济法、经济法学、环境与资源保护法、环境与资源保护法学、国际法、刑事司法、刑事司法学、国际法学、国际经济法、军事法学、比较刑法学、法律硕士、行政法、行政法学、行政诉讼法学、法律逻辑学、民族法学、应用法学、医事法律、医事法学、金融法学、人权法学、财税法学、反恐怖主义法学、劳动法学和社会保障法、证据法学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、人工智能法学、社会法学、数据法学、数字法学、司法警察学。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FBF5D"/>
    <w:rsid w:val="BDFFB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方正仿宋_GBK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after="104" w:afterLines="0" w:afterAutospacing="0" w:line="0" w:lineRule="atLeas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2025-07-29T18:36:00Z</dcterms:created>
  <dc:creator>陈尚欢</dc:creator>
  <cp:lastModifiedBy>陈尚欢</cp:lastModifiedBy>
  <dcterms:modified xsi:type="dcterms:W3CDTF">2025-07-29T18:37:20Z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