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8AC3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bookmarkStart w:id="0" w:name="_GoBack"/>
      <w:bookmarkEnd w:id="0"/>
    </w:p>
    <w:p w14:paraId="0BF58902">
      <w:pPr>
        <w:widowControl/>
        <w:spacing w:line="240" w:lineRule="auto"/>
        <w:ind w:firstLine="0" w:firstLineChars="0"/>
        <w:jc w:val="center"/>
        <w:textAlignment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弥勒市人民医院2025年</w:t>
      </w:r>
    </w:p>
    <w:p w14:paraId="304DB12A">
      <w:pPr>
        <w:widowControl/>
        <w:spacing w:line="240" w:lineRule="auto"/>
        <w:ind w:firstLine="0" w:firstLineChars="0"/>
        <w:jc w:val="center"/>
        <w:textAlignment w:val="center"/>
        <w:rPr>
          <w:rFonts w:hint="eastAsia"/>
          <w:sz w:val="44"/>
          <w:szCs w:val="44"/>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招聘人才类型及对应福利待遇和支持政策</w:t>
      </w:r>
    </w:p>
    <w:p w14:paraId="2406E982">
      <w:pPr>
        <w:widowControl/>
        <w:spacing w:line="240" w:lineRule="exact"/>
        <w:jc w:val="center"/>
        <w:textAlignment w:val="center"/>
        <w:rPr>
          <w:rFonts w:hint="eastAsia" w:ascii="黑体" w:hAnsi="宋体" w:eastAsia="黑体" w:cs="黑体"/>
          <w:color w:val="000000"/>
          <w:kern w:val="0"/>
          <w:sz w:val="22"/>
          <w:szCs w:val="22"/>
          <w:lang w:val="en-US" w:eastAsia="zh-CN"/>
        </w:rPr>
        <w:sectPr>
          <w:pgSz w:w="16838" w:h="11906" w:orient="landscape"/>
          <w:pgMar w:top="1814" w:right="1417" w:bottom="1814" w:left="1417" w:header="851" w:footer="992" w:gutter="0"/>
          <w:cols w:space="425" w:num="1"/>
          <w:docGrid w:type="lines" w:linePitch="312" w:charSpace="0"/>
        </w:sectPr>
      </w:pPr>
    </w:p>
    <w:tbl>
      <w:tblPr>
        <w:tblStyle w:val="7"/>
        <w:tblpPr w:leftFromText="180" w:rightFromText="180" w:vertAnchor="text" w:tblpXSpec="left" w:tblpY="1"/>
        <w:tblOverlap w:val="never"/>
        <w:tblW w:w="4999" w:type="pct"/>
        <w:tblInd w:w="0" w:type="dxa"/>
        <w:tblLayout w:type="autofit"/>
        <w:tblCellMar>
          <w:top w:w="0" w:type="dxa"/>
          <w:left w:w="108" w:type="dxa"/>
          <w:bottom w:w="0" w:type="dxa"/>
          <w:right w:w="108" w:type="dxa"/>
        </w:tblCellMar>
      </w:tblPr>
      <w:tblGrid>
        <w:gridCol w:w="844"/>
        <w:gridCol w:w="3081"/>
        <w:gridCol w:w="1485"/>
        <w:gridCol w:w="1596"/>
        <w:gridCol w:w="1747"/>
        <w:gridCol w:w="1513"/>
        <w:gridCol w:w="1442"/>
        <w:gridCol w:w="2509"/>
      </w:tblGrid>
      <w:tr w14:paraId="03C74F8D">
        <w:tblPrEx>
          <w:tblCellMar>
            <w:top w:w="0" w:type="dxa"/>
            <w:left w:w="108" w:type="dxa"/>
            <w:bottom w:w="0" w:type="dxa"/>
            <w:right w:w="108" w:type="dxa"/>
          </w:tblCellMar>
        </w:tblPrEx>
        <w:trPr>
          <w:trHeight w:val="837" w:hRule="atLeast"/>
        </w:trPr>
        <w:tc>
          <w:tcPr>
            <w:tcW w:w="297" w:type="pct"/>
            <w:vMerge w:val="restart"/>
            <w:tcBorders>
              <w:top w:val="single" w:color="000000" w:sz="4" w:space="0"/>
              <w:left w:val="single" w:color="000000" w:sz="8" w:space="0"/>
              <w:right w:val="single" w:color="000000" w:sz="4" w:space="0"/>
            </w:tcBorders>
            <w:shd w:val="clear" w:color="auto" w:fill="auto"/>
            <w:vAlign w:val="center"/>
          </w:tcPr>
          <w:p w14:paraId="760C3FAB">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val="en-US" w:eastAsia="zh-CN"/>
              </w:rPr>
              <w:t>人才类型</w:t>
            </w:r>
          </w:p>
        </w:tc>
        <w:tc>
          <w:tcPr>
            <w:tcW w:w="1083" w:type="pct"/>
            <w:vMerge w:val="restart"/>
            <w:tcBorders>
              <w:top w:val="single" w:color="000000" w:sz="4" w:space="0"/>
              <w:left w:val="single" w:color="000000" w:sz="4" w:space="0"/>
              <w:right w:val="single" w:color="000000" w:sz="4" w:space="0"/>
            </w:tcBorders>
            <w:shd w:val="clear" w:color="auto" w:fill="auto"/>
            <w:vAlign w:val="center"/>
          </w:tcPr>
          <w:p w14:paraId="507D7832">
            <w:pPr>
              <w:widowControl/>
              <w:spacing w:line="240" w:lineRule="exact"/>
              <w:jc w:val="center"/>
              <w:rPr>
                <w:rFonts w:ascii="黑体" w:hAnsi="宋体" w:eastAsia="黑体" w:cs="黑体"/>
                <w:color w:val="000000"/>
                <w:sz w:val="22"/>
                <w:szCs w:val="22"/>
              </w:rPr>
            </w:pPr>
            <w:r>
              <w:rPr>
                <w:rFonts w:hint="eastAsia" w:ascii="黑体" w:hAnsi="宋体" w:eastAsia="黑体" w:cs="黑体"/>
                <w:color w:val="000000"/>
                <w:kern w:val="0"/>
                <w:sz w:val="22"/>
                <w:szCs w:val="22"/>
              </w:rPr>
              <w:t>岗位所需要求</w:t>
            </w:r>
          </w:p>
        </w:tc>
        <w:tc>
          <w:tcPr>
            <w:tcW w:w="2229"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17063DF">
            <w:pPr>
              <w:jc w:val="center"/>
              <w:rPr>
                <w:rFonts w:hint="eastAsia" w:ascii="黑体" w:hAnsi="宋体" w:eastAsia="黑体" w:cs="黑体"/>
                <w:color w:val="000000"/>
                <w:sz w:val="22"/>
                <w:szCs w:val="22"/>
              </w:rPr>
            </w:pPr>
            <w:r>
              <w:rPr>
                <w:rFonts w:hint="eastAsia" w:ascii="黑体" w:hAnsi="宋体" w:eastAsia="黑体" w:cs="黑体"/>
                <w:color w:val="000000"/>
                <w:sz w:val="22"/>
                <w:szCs w:val="22"/>
              </w:rPr>
              <w:t>福利待遇</w:t>
            </w:r>
          </w:p>
        </w:tc>
        <w:tc>
          <w:tcPr>
            <w:tcW w:w="1389"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368CD19">
            <w:pPr>
              <w:jc w:val="center"/>
              <w:rPr>
                <w:rFonts w:hint="eastAsia" w:ascii="黑体" w:hAnsi="宋体" w:eastAsia="黑体" w:cs="黑体"/>
                <w:color w:val="000000"/>
                <w:sz w:val="22"/>
                <w:szCs w:val="22"/>
              </w:rPr>
            </w:pPr>
            <w:r>
              <w:rPr>
                <w:rFonts w:hint="eastAsia" w:ascii="黑体" w:hAnsi="宋体" w:eastAsia="黑体" w:cs="黑体"/>
                <w:color w:val="000000"/>
                <w:sz w:val="22"/>
                <w:szCs w:val="22"/>
              </w:rPr>
              <w:t>支持政策</w:t>
            </w:r>
          </w:p>
        </w:tc>
      </w:tr>
      <w:tr w14:paraId="5800B8A8">
        <w:tblPrEx>
          <w:tblCellMar>
            <w:top w:w="0" w:type="dxa"/>
            <w:left w:w="108" w:type="dxa"/>
            <w:bottom w:w="0" w:type="dxa"/>
            <w:right w:w="108" w:type="dxa"/>
          </w:tblCellMar>
        </w:tblPrEx>
        <w:trPr>
          <w:trHeight w:val="837" w:hRule="atLeast"/>
        </w:trPr>
        <w:tc>
          <w:tcPr>
            <w:tcW w:w="297" w:type="pct"/>
            <w:vMerge w:val="continue"/>
            <w:tcBorders>
              <w:left w:val="single" w:color="000000" w:sz="8" w:space="0"/>
              <w:bottom w:val="single" w:color="000000" w:sz="4" w:space="0"/>
              <w:right w:val="single" w:color="000000" w:sz="4" w:space="0"/>
            </w:tcBorders>
            <w:shd w:val="clear" w:color="auto" w:fill="auto"/>
            <w:vAlign w:val="center"/>
          </w:tcPr>
          <w:p w14:paraId="5EC4C63F">
            <w:pPr>
              <w:widowControl/>
              <w:spacing w:line="240" w:lineRule="exact"/>
              <w:jc w:val="center"/>
              <w:rPr>
                <w:rFonts w:ascii="黑体" w:hAnsi="宋体" w:eastAsia="黑体" w:cs="黑体"/>
                <w:color w:val="000000"/>
                <w:sz w:val="22"/>
                <w:szCs w:val="22"/>
              </w:rPr>
            </w:pPr>
          </w:p>
        </w:tc>
        <w:tc>
          <w:tcPr>
            <w:tcW w:w="1083" w:type="pct"/>
            <w:vMerge w:val="continue"/>
            <w:tcBorders>
              <w:left w:val="single" w:color="000000" w:sz="4" w:space="0"/>
              <w:bottom w:val="single" w:color="000000" w:sz="4" w:space="0"/>
              <w:right w:val="single" w:color="000000" w:sz="4" w:space="0"/>
            </w:tcBorders>
            <w:shd w:val="clear" w:color="auto" w:fill="auto"/>
            <w:vAlign w:val="center"/>
          </w:tcPr>
          <w:p w14:paraId="12CCA06B">
            <w:pPr>
              <w:widowControl/>
              <w:spacing w:line="240" w:lineRule="exact"/>
              <w:jc w:val="left"/>
              <w:rPr>
                <w:rFonts w:ascii="黑体" w:hAnsi="宋体" w:eastAsia="黑体" w:cs="黑体"/>
                <w:color w:val="000000"/>
                <w:sz w:val="22"/>
                <w:szCs w:val="22"/>
              </w:rPr>
            </w:pPr>
          </w:p>
        </w:tc>
        <w:tc>
          <w:tcPr>
            <w:tcW w:w="52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A89D763">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val="en-US" w:eastAsia="zh-CN"/>
              </w:rPr>
              <w:t>生活补助费（税前）</w:t>
            </w:r>
          </w:p>
        </w:tc>
        <w:tc>
          <w:tcPr>
            <w:tcW w:w="56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3655B01">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工资与绩效</w:t>
            </w:r>
          </w:p>
        </w:tc>
        <w:tc>
          <w:tcPr>
            <w:tcW w:w="6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8DA37C4">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科研经费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0D6A">
            <w:pPr>
              <w:jc w:val="center"/>
              <w:rPr>
                <w:rFonts w:ascii="黑体" w:hAnsi="宋体" w:eastAsia="黑体" w:cs="黑体"/>
                <w:color w:val="000000"/>
                <w:sz w:val="22"/>
                <w:szCs w:val="22"/>
              </w:rPr>
            </w:pPr>
            <w:r>
              <w:rPr>
                <w:rFonts w:hint="eastAsia" w:ascii="黑体" w:hAnsi="宋体" w:eastAsia="黑体" w:cs="黑体"/>
                <w:color w:val="000000"/>
                <w:sz w:val="22"/>
                <w:szCs w:val="22"/>
              </w:rPr>
              <w:t>其他待遇</w:t>
            </w:r>
          </w:p>
        </w:tc>
        <w:tc>
          <w:tcPr>
            <w:tcW w:w="5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5482A1">
            <w:pPr>
              <w:jc w:val="center"/>
              <w:rPr>
                <w:rFonts w:ascii="黑体" w:hAnsi="宋体" w:eastAsia="黑体" w:cs="黑体"/>
                <w:color w:val="000000"/>
                <w:sz w:val="22"/>
                <w:szCs w:val="22"/>
              </w:rPr>
            </w:pPr>
            <w:r>
              <w:rPr>
                <w:rFonts w:hint="eastAsia" w:ascii="黑体" w:hAnsi="宋体" w:eastAsia="黑体" w:cs="黑体"/>
                <w:color w:val="000000"/>
                <w:sz w:val="22"/>
                <w:szCs w:val="22"/>
              </w:rPr>
              <w:t>经费支持</w:t>
            </w:r>
          </w:p>
        </w:tc>
        <w:tc>
          <w:tcPr>
            <w:tcW w:w="88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530CFA">
            <w:pPr>
              <w:jc w:val="center"/>
              <w:rPr>
                <w:rFonts w:ascii="黑体" w:hAnsi="宋体" w:eastAsia="黑体" w:cs="黑体"/>
                <w:color w:val="000000"/>
                <w:sz w:val="22"/>
                <w:szCs w:val="22"/>
              </w:rPr>
            </w:pPr>
            <w:r>
              <w:rPr>
                <w:rFonts w:hint="eastAsia" w:ascii="黑体" w:hAnsi="宋体" w:eastAsia="黑体" w:cs="黑体"/>
                <w:color w:val="000000"/>
                <w:sz w:val="22"/>
                <w:szCs w:val="22"/>
              </w:rPr>
              <w:t>激励创新</w:t>
            </w:r>
          </w:p>
        </w:tc>
      </w:tr>
      <w:tr w14:paraId="6F6DD667">
        <w:tblPrEx>
          <w:tblCellMar>
            <w:top w:w="0" w:type="dxa"/>
            <w:left w:w="108" w:type="dxa"/>
            <w:bottom w:w="0" w:type="dxa"/>
            <w:right w:w="108" w:type="dxa"/>
          </w:tblCellMar>
        </w:tblPrEx>
        <w:trPr>
          <w:trHeight w:val="2022"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C4DED5">
            <w:pPr>
              <w:widowControl/>
              <w:spacing w:line="260" w:lineRule="exact"/>
              <w:ind w:left="21" w:leftChars="10"/>
              <w:jc w:val="center"/>
              <w:textAlignment w:val="center"/>
              <w:rPr>
                <w:rFonts w:hint="eastAsia" w:ascii="宋体" w:hAnsi="宋体" w:cs="宋体"/>
                <w:color w:val="000000"/>
                <w:sz w:val="20"/>
                <w:szCs w:val="20"/>
              </w:rPr>
            </w:pPr>
            <w:r>
              <w:rPr>
                <w:rFonts w:hint="eastAsia" w:ascii="宋体" w:hAnsi="宋体" w:cs="宋体"/>
                <w:color w:val="000000"/>
                <w:sz w:val="20"/>
                <w:szCs w:val="20"/>
              </w:rPr>
              <w:t>特殊</w:t>
            </w:r>
          </w:p>
          <w:p w14:paraId="2725C571">
            <w:pPr>
              <w:widowControl/>
              <w:spacing w:line="260" w:lineRule="exact"/>
              <w:ind w:left="21" w:leftChars="10"/>
              <w:jc w:val="center"/>
              <w:textAlignment w:val="center"/>
              <w:rPr>
                <w:rFonts w:ascii="宋体" w:hAnsi="宋体" w:cs="宋体"/>
                <w:color w:val="000000"/>
                <w:sz w:val="20"/>
                <w:szCs w:val="20"/>
              </w:rPr>
            </w:pPr>
            <w:r>
              <w:rPr>
                <w:rFonts w:hint="eastAsia" w:ascii="宋体" w:hAnsi="宋体" w:cs="宋体"/>
                <w:color w:val="000000"/>
                <w:sz w:val="20"/>
                <w:szCs w:val="20"/>
              </w:rPr>
              <w:t>人才</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ED40">
            <w:pPr>
              <w:widowControl/>
              <w:spacing w:line="260" w:lineRule="exact"/>
              <w:ind w:left="21" w:leftChars="10"/>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长江学者，国家有突出贡献的专家，国务院特殊津贴专家，省级有突出贡献的专家，省级特殊津贴专家，国家或省级临床重点专科的学科带头人、主要骨干，其他有杰出才能的人才。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4D89">
            <w:pPr>
              <w:widowControl/>
              <w:spacing w:line="260" w:lineRule="exact"/>
              <w:ind w:left="21" w:leftChars="10"/>
              <w:jc w:val="both"/>
              <w:textAlignment w:val="center"/>
              <w:rPr>
                <w:rFonts w:ascii="宋体" w:hAnsi="宋体" w:cs="宋体"/>
                <w:color w:val="000000"/>
                <w:sz w:val="20"/>
                <w:szCs w:val="20"/>
              </w:rPr>
            </w:pPr>
            <w:r>
              <w:rPr>
                <w:rFonts w:hint="eastAsia" w:ascii="宋体" w:hAnsi="宋体" w:cs="宋体"/>
                <w:color w:val="000000"/>
                <w:sz w:val="20"/>
                <w:szCs w:val="20"/>
              </w:rPr>
              <w:t>每人100万元—200万元</w:t>
            </w:r>
            <w:r>
              <w:rPr>
                <w:rFonts w:hint="eastAsia" w:ascii="宋体" w:hAnsi="宋体" w:cs="宋体"/>
                <w:color w:val="000000"/>
                <w:sz w:val="20"/>
                <w:szCs w:val="20"/>
                <w:lang w:eastAsia="zh-CN"/>
              </w:rPr>
              <w:t>。</w:t>
            </w:r>
          </w:p>
        </w:tc>
        <w:tc>
          <w:tcPr>
            <w:tcW w:w="561" w:type="pct"/>
            <w:vMerge w:val="restart"/>
            <w:tcBorders>
              <w:top w:val="single" w:color="000000" w:sz="4" w:space="0"/>
              <w:left w:val="single" w:color="000000" w:sz="4" w:space="0"/>
              <w:right w:val="single" w:color="000000" w:sz="4" w:space="0"/>
            </w:tcBorders>
            <w:shd w:val="clear" w:color="auto" w:fill="auto"/>
            <w:vAlign w:val="center"/>
          </w:tcPr>
          <w:p w14:paraId="0D3CEC42">
            <w:pPr>
              <w:widowControl/>
              <w:spacing w:line="260" w:lineRule="exact"/>
              <w:ind w:left="21" w:leftChars="10"/>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按照有关政策享受工资及福利待遇</w:t>
            </w:r>
            <w:r>
              <w:rPr>
                <w:rFonts w:hint="eastAsia" w:ascii="宋体" w:hAnsi="宋体" w:cs="宋体"/>
                <w:color w:val="000000"/>
                <w:sz w:val="20"/>
                <w:szCs w:val="20"/>
                <w:lang w:val="en-US" w:eastAsia="zh-CN"/>
              </w:rPr>
              <w:t>。</w:t>
            </w:r>
          </w:p>
          <w:p w14:paraId="7D2E2B7E">
            <w:pPr>
              <w:widowControl/>
              <w:spacing w:line="260" w:lineRule="exact"/>
              <w:ind w:left="21" w:leftChars="10"/>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奖励性绩效工资按照医院《奖励性绩效工资考核分配办法》执行。</w:t>
            </w:r>
          </w:p>
        </w:tc>
        <w:tc>
          <w:tcPr>
            <w:tcW w:w="614" w:type="pct"/>
            <w:vMerge w:val="restart"/>
            <w:tcBorders>
              <w:top w:val="single" w:color="000000" w:sz="4" w:space="0"/>
              <w:left w:val="single" w:color="000000" w:sz="4" w:space="0"/>
              <w:right w:val="single" w:color="000000" w:sz="4" w:space="0"/>
            </w:tcBorders>
            <w:shd w:val="clear" w:color="auto" w:fill="auto"/>
            <w:vAlign w:val="center"/>
          </w:tcPr>
          <w:p w14:paraId="4B12D4CD">
            <w:pPr>
              <w:widowControl/>
              <w:spacing w:line="260" w:lineRule="exact"/>
              <w:textAlignment w:val="center"/>
              <w:rPr>
                <w:rFonts w:ascii="宋体" w:hAnsi="宋体" w:cs="宋体"/>
                <w:color w:val="000000"/>
                <w:sz w:val="20"/>
                <w:szCs w:val="20"/>
              </w:rPr>
            </w:pPr>
            <w:r>
              <w:rPr>
                <w:rFonts w:hint="eastAsia" w:ascii="宋体" w:hAnsi="宋体" w:cs="宋体"/>
                <w:color w:val="000000"/>
                <w:sz w:val="20"/>
                <w:szCs w:val="20"/>
              </w:rPr>
              <w:t>统筹协调现有临床科研教学设备，为引进人才提供开展临床、科研工作的基本条件。引进人才所申报科研项目经评审合格、立项后，根据人才层次每人提供10万元—30万元科研启动经费。</w:t>
            </w:r>
          </w:p>
        </w:tc>
        <w:tc>
          <w:tcPr>
            <w:tcW w:w="530" w:type="pct"/>
            <w:vMerge w:val="restart"/>
            <w:tcBorders>
              <w:top w:val="single" w:color="000000" w:sz="4" w:space="0"/>
              <w:left w:val="single" w:color="000000" w:sz="4" w:space="0"/>
              <w:right w:val="single" w:color="000000" w:sz="4" w:space="0"/>
            </w:tcBorders>
            <w:shd w:val="clear" w:color="auto" w:fill="auto"/>
            <w:vAlign w:val="center"/>
          </w:tcPr>
          <w:p w14:paraId="6B3D18AD">
            <w:pPr>
              <w:widowControl/>
              <w:spacing w:line="260" w:lineRule="exact"/>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①配偶随迁</w:t>
            </w:r>
            <w:r>
              <w:rPr>
                <w:rFonts w:hint="eastAsia" w:ascii="宋体" w:hAnsi="宋体" w:cs="宋体"/>
                <w:color w:val="000000"/>
                <w:sz w:val="20"/>
                <w:szCs w:val="20"/>
                <w:lang w:eastAsia="zh-CN"/>
              </w:rPr>
              <w:t>；</w:t>
            </w:r>
          </w:p>
          <w:p w14:paraId="72806BA8">
            <w:pPr>
              <w:widowControl/>
              <w:spacing w:line="260" w:lineRule="exact"/>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②子女入学</w:t>
            </w:r>
            <w:r>
              <w:rPr>
                <w:rFonts w:hint="eastAsia" w:ascii="宋体" w:hAnsi="宋体" w:cs="宋体"/>
                <w:color w:val="000000"/>
                <w:sz w:val="20"/>
                <w:szCs w:val="20"/>
                <w:lang w:eastAsia="zh-CN"/>
              </w:rPr>
              <w:t>；</w:t>
            </w:r>
          </w:p>
          <w:p w14:paraId="10ED5204">
            <w:pPr>
              <w:widowControl/>
              <w:spacing w:line="260" w:lineRule="exact"/>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③住房保障</w:t>
            </w:r>
            <w:r>
              <w:rPr>
                <w:rFonts w:hint="eastAsia" w:ascii="宋体" w:hAnsi="宋体" w:cs="宋体"/>
                <w:color w:val="000000"/>
                <w:sz w:val="20"/>
                <w:szCs w:val="20"/>
                <w:lang w:eastAsia="zh-CN"/>
              </w:rPr>
              <w:t>；</w:t>
            </w:r>
          </w:p>
          <w:p w14:paraId="4A4A037A">
            <w:pPr>
              <w:widowControl/>
              <w:spacing w:line="260" w:lineRule="exact"/>
              <w:jc w:val="both"/>
              <w:textAlignment w:val="center"/>
              <w:rPr>
                <w:rFonts w:hint="eastAsia"/>
                <w:lang w:eastAsia="zh-CN"/>
              </w:rPr>
            </w:pPr>
            <w:r>
              <w:rPr>
                <w:rFonts w:hint="eastAsia" w:ascii="宋体" w:hAnsi="宋体" w:eastAsia="宋体" w:cs="宋体"/>
                <w:color w:val="000000"/>
                <w:sz w:val="20"/>
                <w:szCs w:val="20"/>
                <w:lang w:eastAsia="zh-CN"/>
              </w:rPr>
              <w:t>④特殊情况按“一事一议”原则协商解决。</w:t>
            </w:r>
          </w:p>
        </w:tc>
        <w:tc>
          <w:tcPr>
            <w:tcW w:w="507" w:type="pct"/>
            <w:vMerge w:val="restart"/>
            <w:tcBorders>
              <w:top w:val="single" w:color="000000" w:sz="4" w:space="0"/>
              <w:left w:val="single" w:color="000000" w:sz="4" w:space="0"/>
              <w:right w:val="single" w:color="000000" w:sz="8" w:space="0"/>
            </w:tcBorders>
            <w:shd w:val="clear" w:color="auto" w:fill="auto"/>
            <w:vAlign w:val="center"/>
          </w:tcPr>
          <w:p w14:paraId="1F39140E">
            <w:pPr>
              <w:widowControl/>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引进人才按“不重复”原则申报，按就高原则兑现待遇，市级补助不重复享受，生活补助分1年—6年发放，具体由市人民医院根据年度考核及作用发挥情况与引进人才协商确定，并可协商调整。</w:t>
            </w:r>
          </w:p>
        </w:tc>
        <w:tc>
          <w:tcPr>
            <w:tcW w:w="881" w:type="pct"/>
            <w:vMerge w:val="restart"/>
            <w:tcBorders>
              <w:top w:val="single" w:color="000000" w:sz="4" w:space="0"/>
              <w:left w:val="single" w:color="000000" w:sz="4" w:space="0"/>
              <w:right w:val="single" w:color="000000" w:sz="8" w:space="0"/>
            </w:tcBorders>
            <w:shd w:val="clear" w:color="auto" w:fill="auto"/>
            <w:vAlign w:val="center"/>
          </w:tcPr>
          <w:p w14:paraId="5AC77AA4">
            <w:pPr>
              <w:widowControl/>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①</w:t>
            </w:r>
            <w:r>
              <w:rPr>
                <w:rFonts w:hint="eastAsia" w:ascii="宋体" w:hAnsi="宋体" w:cs="宋体"/>
                <w:color w:val="000000"/>
                <w:sz w:val="20"/>
                <w:szCs w:val="20"/>
                <w:lang w:val="en-US" w:eastAsia="zh-CN"/>
              </w:rPr>
              <w:t>医院引进的各类人才优先</w:t>
            </w:r>
            <w:r>
              <w:rPr>
                <w:rFonts w:hint="eastAsia" w:ascii="宋体" w:hAnsi="宋体" w:eastAsia="宋体" w:cs="宋体"/>
                <w:color w:val="000000"/>
                <w:sz w:val="20"/>
                <w:szCs w:val="20"/>
                <w:lang w:eastAsia="zh-CN"/>
              </w:rPr>
              <w:t>推荐进入国家和省级、州级人才计划，享受相应的待遇支持和服务保障；</w:t>
            </w:r>
          </w:p>
          <w:p w14:paraId="4403F442">
            <w:pPr>
              <w:widowControl/>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②在服务期间，主持、参与并帮助医院获得国家或省（部）级重大科技奖项的，给予国家或省（部）同等额度的资金奖励；</w:t>
            </w:r>
          </w:p>
          <w:p w14:paraId="0F392134">
            <w:pPr>
              <w:widowControl/>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③获得对医院适用且能创造效益的国内发明专利授权，参照《云南省专利资助办法（试行）》等规定予以奖励；</w:t>
            </w:r>
          </w:p>
          <w:p w14:paraId="2EBEADBF">
            <w:pPr>
              <w:widowControl/>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④引进人才在申请科研经费资助、认定高新技术成果转化、申报科技奖励等方面积极给予支持。</w:t>
            </w:r>
          </w:p>
        </w:tc>
      </w:tr>
      <w:tr w14:paraId="31B77D72">
        <w:tblPrEx>
          <w:tblCellMar>
            <w:top w:w="0" w:type="dxa"/>
            <w:left w:w="108" w:type="dxa"/>
            <w:bottom w:w="0" w:type="dxa"/>
            <w:right w:w="108" w:type="dxa"/>
          </w:tblCellMar>
        </w:tblPrEx>
        <w:trPr>
          <w:trHeight w:val="2137"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B47DED">
            <w:pPr>
              <w:widowControl/>
              <w:spacing w:line="260" w:lineRule="exact"/>
              <w:ind w:left="21" w:leftChars="10"/>
              <w:jc w:val="center"/>
              <w:textAlignment w:val="center"/>
              <w:rPr>
                <w:rFonts w:ascii="宋体" w:hAnsi="宋体" w:cs="宋体"/>
                <w:color w:val="000000"/>
                <w:sz w:val="20"/>
                <w:szCs w:val="20"/>
              </w:rPr>
            </w:pPr>
            <w:r>
              <w:rPr>
                <w:rFonts w:hint="eastAsia" w:ascii="宋体" w:hAnsi="宋体" w:cs="宋体"/>
                <w:color w:val="000000"/>
                <w:sz w:val="20"/>
                <w:szCs w:val="20"/>
              </w:rPr>
              <w:t>高学历人才</w:t>
            </w: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14:paraId="44A02F8B">
            <w:pPr>
              <w:widowControl/>
              <w:spacing w:line="260" w:lineRule="exact"/>
              <w:jc w:val="both"/>
              <w:textAlignment w:val="center"/>
              <w:rPr>
                <w:rFonts w:hint="eastAsia" w:ascii="宋体" w:hAnsi="宋体" w:cs="宋体"/>
                <w:color w:val="000000"/>
                <w:sz w:val="20"/>
                <w:szCs w:val="20"/>
              </w:rPr>
            </w:pPr>
            <w:r>
              <w:rPr>
                <w:rFonts w:hint="eastAsia" w:ascii="宋体" w:hAnsi="宋体" w:cs="宋体"/>
                <w:color w:val="000000"/>
                <w:sz w:val="20"/>
                <w:szCs w:val="20"/>
              </w:rPr>
              <w:t>①取得相关专业毕业证及学位证的硕士或博士研究生（医学相关专业需取得相应执业资格证）；</w:t>
            </w:r>
          </w:p>
          <w:p w14:paraId="4EDFBF1C">
            <w:pPr>
              <w:widowControl/>
              <w:spacing w:line="260" w:lineRule="exact"/>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②年龄：博士研究生50周岁及以下，硕士研究生45周岁及以下。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43E2">
            <w:pPr>
              <w:widowControl/>
              <w:spacing w:line="260" w:lineRule="exact"/>
              <w:ind w:left="21" w:leftChars="10"/>
              <w:jc w:val="both"/>
              <w:textAlignment w:val="center"/>
              <w:rPr>
                <w:rFonts w:hint="eastAsia" w:ascii="宋体" w:hAnsi="宋体" w:cs="宋体"/>
                <w:color w:val="000000"/>
                <w:sz w:val="20"/>
                <w:szCs w:val="20"/>
                <w:lang w:eastAsia="zh-CN"/>
              </w:rPr>
            </w:pPr>
            <w:r>
              <w:rPr>
                <w:rFonts w:hint="eastAsia" w:ascii="宋体" w:hAnsi="宋体" w:cs="宋体"/>
                <w:color w:val="000000"/>
                <w:sz w:val="20"/>
                <w:szCs w:val="20"/>
              </w:rPr>
              <w:t>博士研究生</w:t>
            </w:r>
            <w:r>
              <w:rPr>
                <w:rFonts w:hint="eastAsia" w:ascii="宋体" w:hAnsi="宋体" w:cs="宋体"/>
                <w:color w:val="000000"/>
                <w:sz w:val="20"/>
                <w:szCs w:val="20"/>
                <w:lang w:eastAsia="zh-CN"/>
              </w:rPr>
              <w:t>：</w:t>
            </w:r>
            <w:r>
              <w:rPr>
                <w:rFonts w:hint="eastAsia" w:ascii="宋体" w:hAnsi="宋体" w:cs="宋体"/>
                <w:color w:val="000000"/>
                <w:sz w:val="20"/>
                <w:szCs w:val="20"/>
              </w:rPr>
              <w:t>每人60万元—80万元</w:t>
            </w:r>
            <w:r>
              <w:rPr>
                <w:rFonts w:hint="eastAsia" w:ascii="宋体" w:hAnsi="宋体" w:cs="宋体"/>
                <w:color w:val="000000"/>
                <w:sz w:val="20"/>
                <w:szCs w:val="20"/>
                <w:lang w:eastAsia="zh-CN"/>
              </w:rPr>
              <w:t>；</w:t>
            </w:r>
          </w:p>
          <w:p w14:paraId="3C51CB49">
            <w:pPr>
              <w:widowControl/>
              <w:spacing w:line="260" w:lineRule="exact"/>
              <w:ind w:left="21" w:leftChars="10"/>
              <w:jc w:val="both"/>
              <w:textAlignment w:val="center"/>
              <w:rPr>
                <w:rFonts w:ascii="宋体" w:hAnsi="宋体" w:cs="宋体"/>
                <w:color w:val="000000"/>
                <w:sz w:val="20"/>
                <w:szCs w:val="20"/>
              </w:rPr>
            </w:pPr>
            <w:r>
              <w:rPr>
                <w:rFonts w:hint="eastAsia" w:ascii="宋体" w:hAnsi="宋体" w:cs="宋体"/>
                <w:color w:val="000000"/>
                <w:sz w:val="20"/>
                <w:szCs w:val="20"/>
              </w:rPr>
              <w:t>硕士研究生</w:t>
            </w:r>
            <w:r>
              <w:rPr>
                <w:rFonts w:hint="eastAsia" w:ascii="宋体" w:hAnsi="宋体" w:cs="宋体"/>
                <w:color w:val="000000"/>
                <w:sz w:val="20"/>
                <w:szCs w:val="20"/>
                <w:lang w:eastAsia="zh-CN"/>
              </w:rPr>
              <w:t>：</w:t>
            </w:r>
            <w:r>
              <w:rPr>
                <w:rFonts w:hint="eastAsia" w:ascii="宋体" w:hAnsi="宋体" w:cs="宋体"/>
                <w:color w:val="000000"/>
                <w:sz w:val="20"/>
                <w:szCs w:val="20"/>
              </w:rPr>
              <w:t>每人10万元—20万元</w:t>
            </w:r>
          </w:p>
        </w:tc>
        <w:tc>
          <w:tcPr>
            <w:tcW w:w="561" w:type="pct"/>
            <w:vMerge w:val="continue"/>
            <w:tcBorders>
              <w:left w:val="single" w:color="000000" w:sz="4" w:space="0"/>
              <w:right w:val="single" w:color="000000" w:sz="4" w:space="0"/>
            </w:tcBorders>
            <w:shd w:val="clear" w:color="auto" w:fill="auto"/>
            <w:vAlign w:val="center"/>
          </w:tcPr>
          <w:p w14:paraId="7BC42C37">
            <w:pPr>
              <w:widowControl/>
              <w:spacing w:line="260" w:lineRule="exact"/>
              <w:ind w:left="21" w:leftChars="10"/>
              <w:textAlignment w:val="center"/>
              <w:rPr>
                <w:rFonts w:hint="eastAsia" w:ascii="宋体" w:hAnsi="宋体" w:eastAsia="宋体" w:cs="宋体"/>
                <w:color w:val="000000"/>
                <w:sz w:val="20"/>
                <w:szCs w:val="20"/>
                <w:lang w:val="en-US" w:eastAsia="zh-CN"/>
              </w:rPr>
            </w:pPr>
          </w:p>
        </w:tc>
        <w:tc>
          <w:tcPr>
            <w:tcW w:w="614" w:type="pct"/>
            <w:vMerge w:val="continue"/>
            <w:tcBorders>
              <w:left w:val="single" w:color="000000" w:sz="4" w:space="0"/>
              <w:right w:val="single" w:color="000000" w:sz="4" w:space="0"/>
            </w:tcBorders>
            <w:shd w:val="clear" w:color="auto" w:fill="auto"/>
            <w:vAlign w:val="center"/>
          </w:tcPr>
          <w:p w14:paraId="6EAA3449">
            <w:pPr>
              <w:widowControl/>
              <w:spacing w:line="260" w:lineRule="exact"/>
              <w:textAlignment w:val="center"/>
              <w:rPr>
                <w:rFonts w:ascii="宋体" w:hAnsi="宋体" w:cs="宋体"/>
                <w:color w:val="000000"/>
                <w:sz w:val="20"/>
                <w:szCs w:val="20"/>
              </w:rPr>
            </w:pPr>
          </w:p>
        </w:tc>
        <w:tc>
          <w:tcPr>
            <w:tcW w:w="530" w:type="pct"/>
            <w:vMerge w:val="continue"/>
            <w:tcBorders>
              <w:left w:val="single" w:color="000000" w:sz="4" w:space="0"/>
              <w:right w:val="single" w:color="000000" w:sz="4" w:space="0"/>
            </w:tcBorders>
            <w:shd w:val="clear" w:color="auto" w:fill="auto"/>
            <w:vAlign w:val="center"/>
          </w:tcPr>
          <w:p w14:paraId="2FBB3FBF">
            <w:pPr>
              <w:widowControl/>
              <w:spacing w:line="260" w:lineRule="exact"/>
              <w:ind w:left="21" w:leftChars="10"/>
              <w:jc w:val="both"/>
              <w:textAlignment w:val="center"/>
              <w:rPr>
                <w:rFonts w:hint="eastAsia" w:ascii="宋体" w:hAnsi="宋体" w:eastAsia="宋体" w:cs="宋体"/>
                <w:color w:val="000000"/>
                <w:sz w:val="20"/>
                <w:szCs w:val="20"/>
                <w:lang w:eastAsia="zh-CN"/>
              </w:rPr>
            </w:pPr>
          </w:p>
        </w:tc>
        <w:tc>
          <w:tcPr>
            <w:tcW w:w="507" w:type="pct"/>
            <w:vMerge w:val="continue"/>
            <w:tcBorders>
              <w:left w:val="single" w:color="000000" w:sz="4" w:space="0"/>
              <w:right w:val="single" w:color="000000" w:sz="8" w:space="0"/>
            </w:tcBorders>
            <w:shd w:val="clear" w:color="auto" w:fill="auto"/>
            <w:vAlign w:val="center"/>
          </w:tcPr>
          <w:p w14:paraId="3E08613D">
            <w:pPr>
              <w:widowControl/>
              <w:spacing w:line="260" w:lineRule="exact"/>
              <w:ind w:left="21" w:leftChars="10"/>
              <w:jc w:val="both"/>
              <w:textAlignment w:val="center"/>
              <w:rPr>
                <w:rFonts w:ascii="宋体" w:hAnsi="宋体" w:cs="宋体"/>
                <w:color w:val="000000"/>
                <w:sz w:val="20"/>
                <w:szCs w:val="20"/>
              </w:rPr>
            </w:pPr>
          </w:p>
        </w:tc>
        <w:tc>
          <w:tcPr>
            <w:tcW w:w="881" w:type="pct"/>
            <w:vMerge w:val="continue"/>
            <w:tcBorders>
              <w:left w:val="single" w:color="000000" w:sz="4" w:space="0"/>
              <w:right w:val="single" w:color="000000" w:sz="8" w:space="0"/>
            </w:tcBorders>
            <w:shd w:val="clear" w:color="auto" w:fill="auto"/>
            <w:vAlign w:val="center"/>
          </w:tcPr>
          <w:p w14:paraId="42A93417">
            <w:pPr>
              <w:widowControl/>
              <w:spacing w:line="260" w:lineRule="exact"/>
              <w:ind w:left="21" w:leftChars="10"/>
              <w:jc w:val="left"/>
              <w:textAlignment w:val="center"/>
              <w:rPr>
                <w:rFonts w:ascii="宋体" w:hAnsi="宋体" w:cs="宋体"/>
                <w:color w:val="000000"/>
                <w:sz w:val="20"/>
                <w:szCs w:val="20"/>
              </w:rPr>
            </w:pPr>
          </w:p>
        </w:tc>
      </w:tr>
      <w:tr w14:paraId="3A714443">
        <w:tblPrEx>
          <w:tblCellMar>
            <w:top w:w="0" w:type="dxa"/>
            <w:left w:w="108" w:type="dxa"/>
            <w:bottom w:w="0" w:type="dxa"/>
            <w:right w:w="108" w:type="dxa"/>
          </w:tblCellMar>
        </w:tblPrEx>
        <w:trPr>
          <w:trHeight w:val="1963"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FDE72F">
            <w:pPr>
              <w:widowControl/>
              <w:spacing w:line="260" w:lineRule="exact"/>
              <w:ind w:left="21" w:leftChars="10"/>
              <w:jc w:val="center"/>
              <w:textAlignment w:val="center"/>
              <w:rPr>
                <w:rFonts w:hint="eastAsia" w:ascii="宋体" w:hAnsi="宋体" w:cs="宋体"/>
                <w:color w:val="000000"/>
                <w:sz w:val="20"/>
                <w:szCs w:val="20"/>
              </w:rPr>
            </w:pPr>
            <w:r>
              <w:rPr>
                <w:rFonts w:hint="eastAsia" w:ascii="宋体" w:hAnsi="宋体" w:cs="宋体"/>
                <w:color w:val="000000"/>
                <w:sz w:val="20"/>
                <w:szCs w:val="20"/>
              </w:rPr>
              <w:t>学科</w:t>
            </w:r>
          </w:p>
          <w:p w14:paraId="40172445">
            <w:pPr>
              <w:widowControl/>
              <w:spacing w:line="260" w:lineRule="exact"/>
              <w:ind w:left="21" w:leftChars="10"/>
              <w:jc w:val="center"/>
              <w:textAlignment w:val="center"/>
              <w:rPr>
                <w:rFonts w:ascii="宋体" w:hAnsi="宋体" w:cs="宋体"/>
                <w:color w:val="000000"/>
                <w:sz w:val="20"/>
                <w:szCs w:val="20"/>
              </w:rPr>
            </w:pPr>
            <w:r>
              <w:rPr>
                <w:rFonts w:hint="eastAsia" w:ascii="宋体" w:hAnsi="宋体" w:cs="宋体"/>
                <w:color w:val="000000"/>
                <w:sz w:val="20"/>
                <w:szCs w:val="20"/>
              </w:rPr>
              <w:t>带头人</w:t>
            </w:r>
          </w:p>
        </w:tc>
        <w:tc>
          <w:tcPr>
            <w:tcW w:w="1083" w:type="pct"/>
            <w:tcBorders>
              <w:top w:val="single" w:color="auto" w:sz="4" w:space="0"/>
              <w:left w:val="single" w:color="auto" w:sz="4" w:space="0"/>
              <w:bottom w:val="single" w:color="auto" w:sz="4" w:space="0"/>
              <w:right w:val="nil"/>
            </w:tcBorders>
            <w:shd w:val="clear" w:color="auto" w:fill="auto"/>
            <w:vAlign w:val="center"/>
          </w:tcPr>
          <w:p w14:paraId="0A1570E0">
            <w:pPr>
              <w:widowControl/>
              <w:spacing w:line="260" w:lineRule="exact"/>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①本科及以上学历，取得副高及以上职称，有三级医院3年及以上工作经历，连续从事临床医疗工作8年及以上且从事本专业工作3年及以上；②年龄在50周岁及以下。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104A">
            <w:pPr>
              <w:widowControl/>
              <w:spacing w:line="260" w:lineRule="exact"/>
              <w:ind w:left="21" w:leftChars="10"/>
              <w:jc w:val="both"/>
              <w:textAlignment w:val="center"/>
              <w:rPr>
                <w:rFonts w:hint="eastAsia" w:ascii="宋体" w:hAnsi="宋体" w:cs="宋体"/>
                <w:color w:val="000000"/>
                <w:sz w:val="20"/>
                <w:szCs w:val="20"/>
                <w:lang w:eastAsia="zh-CN"/>
              </w:rPr>
            </w:pPr>
            <w:r>
              <w:rPr>
                <w:rFonts w:hint="eastAsia" w:ascii="宋体" w:hAnsi="宋体" w:cs="宋体"/>
                <w:color w:val="000000"/>
                <w:sz w:val="20"/>
                <w:szCs w:val="20"/>
              </w:rPr>
              <w:t>每人40万元—50万元</w:t>
            </w:r>
            <w:r>
              <w:rPr>
                <w:rFonts w:hint="eastAsia" w:ascii="宋体" w:hAnsi="宋体" w:cs="宋体"/>
                <w:color w:val="000000"/>
                <w:sz w:val="20"/>
                <w:szCs w:val="20"/>
                <w:lang w:eastAsia="zh-CN"/>
              </w:rPr>
              <w:t>；</w:t>
            </w:r>
          </w:p>
          <w:p w14:paraId="15D93958">
            <w:pPr>
              <w:widowControl/>
              <w:spacing w:line="260" w:lineRule="exact"/>
              <w:ind w:left="21" w:leftChars="10"/>
              <w:jc w:val="both"/>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正式聘用后第一年给予每人每月不低于1万元的临时性生活补助。</w:t>
            </w:r>
          </w:p>
        </w:tc>
        <w:tc>
          <w:tcPr>
            <w:tcW w:w="561" w:type="pct"/>
            <w:vMerge w:val="continue"/>
            <w:tcBorders>
              <w:left w:val="single" w:color="000000" w:sz="4" w:space="0"/>
              <w:bottom w:val="single" w:color="000000" w:sz="4" w:space="0"/>
              <w:right w:val="single" w:color="000000" w:sz="4" w:space="0"/>
            </w:tcBorders>
            <w:shd w:val="clear" w:color="auto" w:fill="auto"/>
            <w:vAlign w:val="center"/>
          </w:tcPr>
          <w:p w14:paraId="64C34ABF">
            <w:pPr>
              <w:widowControl/>
              <w:spacing w:line="260" w:lineRule="exact"/>
              <w:ind w:left="21" w:leftChars="10"/>
              <w:textAlignment w:val="center"/>
              <w:rPr>
                <w:rFonts w:ascii="宋体" w:hAnsi="宋体" w:cs="宋体"/>
                <w:color w:val="000000"/>
                <w:sz w:val="20"/>
                <w:szCs w:val="20"/>
              </w:rPr>
            </w:pPr>
          </w:p>
        </w:tc>
        <w:tc>
          <w:tcPr>
            <w:tcW w:w="614" w:type="pct"/>
            <w:vMerge w:val="continue"/>
            <w:tcBorders>
              <w:left w:val="single" w:color="000000" w:sz="4" w:space="0"/>
              <w:bottom w:val="single" w:color="000000" w:sz="4" w:space="0"/>
              <w:right w:val="single" w:color="000000" w:sz="4" w:space="0"/>
            </w:tcBorders>
            <w:shd w:val="clear" w:color="auto" w:fill="auto"/>
            <w:vAlign w:val="center"/>
          </w:tcPr>
          <w:p w14:paraId="17AEDC6A">
            <w:pPr>
              <w:widowControl/>
              <w:spacing w:line="260" w:lineRule="exact"/>
              <w:textAlignment w:val="center"/>
              <w:rPr>
                <w:rFonts w:ascii="宋体" w:hAnsi="宋体" w:cs="宋体"/>
                <w:color w:val="000000"/>
                <w:sz w:val="20"/>
                <w:szCs w:val="20"/>
              </w:rPr>
            </w:pPr>
          </w:p>
        </w:tc>
        <w:tc>
          <w:tcPr>
            <w:tcW w:w="530" w:type="pct"/>
            <w:vMerge w:val="continue"/>
            <w:tcBorders>
              <w:left w:val="single" w:color="000000" w:sz="4" w:space="0"/>
              <w:bottom w:val="single" w:color="000000" w:sz="4" w:space="0"/>
              <w:right w:val="single" w:color="000000" w:sz="4" w:space="0"/>
            </w:tcBorders>
            <w:shd w:val="clear" w:color="auto" w:fill="auto"/>
            <w:vAlign w:val="center"/>
          </w:tcPr>
          <w:p w14:paraId="0355928B">
            <w:pPr>
              <w:widowControl/>
              <w:spacing w:line="260" w:lineRule="exact"/>
              <w:ind w:left="21" w:leftChars="10"/>
              <w:jc w:val="both"/>
              <w:textAlignment w:val="center"/>
              <w:rPr>
                <w:rFonts w:hint="eastAsia" w:ascii="宋体" w:hAnsi="宋体" w:eastAsia="宋体" w:cs="宋体"/>
                <w:color w:val="000000"/>
                <w:sz w:val="20"/>
                <w:szCs w:val="20"/>
                <w:lang w:eastAsia="zh-CN"/>
              </w:rPr>
            </w:pPr>
          </w:p>
        </w:tc>
        <w:tc>
          <w:tcPr>
            <w:tcW w:w="507" w:type="pct"/>
            <w:vMerge w:val="continue"/>
            <w:tcBorders>
              <w:left w:val="single" w:color="000000" w:sz="4" w:space="0"/>
              <w:bottom w:val="single" w:color="auto" w:sz="4" w:space="0"/>
              <w:right w:val="single" w:color="000000" w:sz="8" w:space="0"/>
            </w:tcBorders>
            <w:shd w:val="clear" w:color="auto" w:fill="auto"/>
            <w:vAlign w:val="center"/>
          </w:tcPr>
          <w:p w14:paraId="7CAF4AC8">
            <w:pPr>
              <w:widowControl/>
              <w:spacing w:line="260" w:lineRule="exact"/>
              <w:ind w:left="21" w:leftChars="10"/>
              <w:jc w:val="both"/>
              <w:textAlignment w:val="center"/>
              <w:rPr>
                <w:rFonts w:hint="default" w:ascii="宋体" w:hAnsi="宋体" w:eastAsia="宋体" w:cs="宋体"/>
                <w:color w:val="000000"/>
                <w:sz w:val="20"/>
                <w:szCs w:val="20"/>
                <w:lang w:val="en-US" w:eastAsia="zh-CN"/>
              </w:rPr>
            </w:pPr>
          </w:p>
        </w:tc>
        <w:tc>
          <w:tcPr>
            <w:tcW w:w="881" w:type="pct"/>
            <w:vMerge w:val="continue"/>
            <w:tcBorders>
              <w:left w:val="single" w:color="000000" w:sz="4" w:space="0"/>
              <w:bottom w:val="single" w:color="auto" w:sz="4" w:space="0"/>
              <w:right w:val="single" w:color="000000" w:sz="8" w:space="0"/>
            </w:tcBorders>
            <w:shd w:val="clear" w:color="auto" w:fill="auto"/>
            <w:vAlign w:val="center"/>
          </w:tcPr>
          <w:p w14:paraId="31B96211">
            <w:pPr>
              <w:widowControl/>
              <w:spacing w:line="260" w:lineRule="exact"/>
              <w:ind w:left="21" w:leftChars="10"/>
              <w:jc w:val="left"/>
              <w:textAlignment w:val="center"/>
              <w:rPr>
                <w:rFonts w:hint="default" w:ascii="宋体" w:hAnsi="宋体" w:eastAsia="宋体" w:cs="宋体"/>
                <w:color w:val="000000"/>
                <w:sz w:val="20"/>
                <w:szCs w:val="20"/>
                <w:lang w:val="en-US" w:eastAsia="zh-CN"/>
              </w:rPr>
            </w:pPr>
          </w:p>
        </w:tc>
      </w:tr>
      <w:tr w14:paraId="0E105E08">
        <w:tblPrEx>
          <w:tblCellMar>
            <w:top w:w="0" w:type="dxa"/>
            <w:left w:w="108" w:type="dxa"/>
            <w:bottom w:w="0" w:type="dxa"/>
            <w:right w:w="108" w:type="dxa"/>
          </w:tblCellMar>
        </w:tblPrEx>
        <w:trPr>
          <w:trHeight w:val="2106"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80A163">
            <w:pPr>
              <w:widowControl/>
              <w:spacing w:line="260" w:lineRule="exact"/>
              <w:ind w:left="21" w:leftChars="10"/>
              <w:jc w:val="center"/>
              <w:textAlignment w:val="center"/>
              <w:rPr>
                <w:rFonts w:hint="eastAsia" w:ascii="宋体" w:hAnsi="宋体" w:cs="宋体"/>
                <w:color w:val="000000"/>
                <w:sz w:val="20"/>
                <w:szCs w:val="20"/>
              </w:rPr>
            </w:pPr>
            <w:r>
              <w:rPr>
                <w:rFonts w:hint="eastAsia" w:ascii="宋体" w:hAnsi="宋体" w:cs="宋体"/>
                <w:color w:val="000000"/>
                <w:sz w:val="20"/>
                <w:szCs w:val="20"/>
              </w:rPr>
              <w:t>专业</w:t>
            </w:r>
          </w:p>
          <w:p w14:paraId="6728C756">
            <w:pPr>
              <w:widowControl/>
              <w:spacing w:line="260" w:lineRule="exact"/>
              <w:ind w:left="21" w:leftChars="10"/>
              <w:jc w:val="center"/>
              <w:textAlignment w:val="center"/>
              <w:rPr>
                <w:rFonts w:hint="eastAsia" w:ascii="宋体" w:hAnsi="宋体" w:cs="宋体"/>
                <w:color w:val="000000"/>
                <w:sz w:val="20"/>
                <w:szCs w:val="20"/>
              </w:rPr>
            </w:pPr>
            <w:r>
              <w:rPr>
                <w:rFonts w:hint="eastAsia" w:ascii="宋体" w:hAnsi="宋体" w:cs="宋体"/>
                <w:color w:val="000000"/>
                <w:sz w:val="20"/>
                <w:szCs w:val="20"/>
              </w:rPr>
              <w:t>技术</w:t>
            </w:r>
          </w:p>
          <w:p w14:paraId="5FF31FCE">
            <w:pPr>
              <w:widowControl/>
              <w:spacing w:line="260" w:lineRule="exact"/>
              <w:ind w:left="21" w:leftChars="10"/>
              <w:jc w:val="center"/>
              <w:textAlignment w:val="center"/>
              <w:rPr>
                <w:rFonts w:ascii="宋体" w:hAnsi="宋体" w:cs="宋体"/>
                <w:color w:val="000000"/>
                <w:sz w:val="20"/>
                <w:szCs w:val="20"/>
              </w:rPr>
            </w:pPr>
            <w:r>
              <w:rPr>
                <w:rFonts w:hint="eastAsia" w:ascii="宋体" w:hAnsi="宋体" w:cs="宋体"/>
                <w:color w:val="000000"/>
                <w:sz w:val="20"/>
                <w:szCs w:val="20"/>
              </w:rPr>
              <w:t>骨干</w:t>
            </w:r>
          </w:p>
        </w:tc>
        <w:tc>
          <w:tcPr>
            <w:tcW w:w="1083" w:type="pct"/>
            <w:tcBorders>
              <w:top w:val="single" w:color="auto" w:sz="4" w:space="0"/>
              <w:left w:val="single" w:color="000000" w:sz="4" w:space="0"/>
              <w:bottom w:val="single" w:color="000000" w:sz="4" w:space="0"/>
              <w:right w:val="single" w:color="000000" w:sz="4" w:space="0"/>
            </w:tcBorders>
            <w:shd w:val="clear" w:color="auto" w:fill="auto"/>
            <w:vAlign w:val="center"/>
          </w:tcPr>
          <w:p w14:paraId="72427991">
            <w:pPr>
              <w:widowControl/>
              <w:spacing w:line="260" w:lineRule="exact"/>
              <w:jc w:val="both"/>
              <w:textAlignment w:val="center"/>
              <w:rPr>
                <w:rFonts w:hint="eastAsia" w:ascii="宋体" w:hAnsi="宋体" w:cs="宋体"/>
                <w:color w:val="000000"/>
                <w:sz w:val="20"/>
                <w:szCs w:val="20"/>
              </w:rPr>
            </w:pPr>
            <w:r>
              <w:rPr>
                <w:rFonts w:hint="eastAsia" w:ascii="宋体" w:hAnsi="宋体" w:cs="宋体"/>
                <w:color w:val="000000"/>
                <w:sz w:val="20"/>
                <w:szCs w:val="20"/>
              </w:rPr>
              <w:t>①本科及以上学历，取得中级及以上职称，在二级甲等及以上医院连续从事临床医疗工作5年及以上；</w:t>
            </w:r>
          </w:p>
          <w:p w14:paraId="7665C23F">
            <w:pPr>
              <w:widowControl/>
              <w:spacing w:line="260" w:lineRule="exact"/>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②年龄在45周岁及以下。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FAC5">
            <w:pPr>
              <w:widowControl/>
              <w:spacing w:line="260" w:lineRule="exact"/>
              <w:ind w:left="21" w:leftChars="10"/>
              <w:jc w:val="both"/>
              <w:textAlignment w:val="center"/>
              <w:rPr>
                <w:rFonts w:ascii="宋体" w:hAnsi="宋体" w:cs="宋体"/>
                <w:color w:val="000000"/>
                <w:sz w:val="20"/>
                <w:szCs w:val="20"/>
              </w:rPr>
            </w:pPr>
            <w:r>
              <w:rPr>
                <w:rFonts w:hint="eastAsia" w:ascii="宋体" w:hAnsi="宋体" w:cs="宋体"/>
                <w:color w:val="000000"/>
                <w:sz w:val="20"/>
                <w:szCs w:val="20"/>
              </w:rPr>
              <w:t>每人10万元—20万元</w:t>
            </w:r>
            <w:r>
              <w:rPr>
                <w:rFonts w:hint="eastAsia" w:ascii="宋体" w:hAnsi="宋体" w:cs="宋体"/>
                <w:color w:val="000000"/>
                <w:sz w:val="20"/>
                <w:szCs w:val="20"/>
                <w:lang w:eastAsia="zh-CN"/>
              </w:rPr>
              <w:t>。</w:t>
            </w:r>
          </w:p>
        </w:tc>
        <w:tc>
          <w:tcPr>
            <w:tcW w:w="561" w:type="pct"/>
            <w:vMerge w:val="restart"/>
            <w:tcBorders>
              <w:top w:val="single" w:color="000000" w:sz="4" w:space="0"/>
              <w:left w:val="single" w:color="000000" w:sz="4" w:space="0"/>
              <w:right w:val="single" w:color="000000" w:sz="4" w:space="0"/>
            </w:tcBorders>
            <w:shd w:val="clear" w:color="auto" w:fill="auto"/>
            <w:vAlign w:val="center"/>
          </w:tcPr>
          <w:p w14:paraId="1514ADE7">
            <w:pPr>
              <w:widowControl/>
              <w:spacing w:line="260" w:lineRule="exact"/>
              <w:ind w:left="21" w:leftChars="10"/>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按照有关政策享受工资及福利待遇</w:t>
            </w:r>
            <w:r>
              <w:rPr>
                <w:rFonts w:hint="eastAsia" w:ascii="宋体" w:hAnsi="宋体" w:cs="宋体"/>
                <w:color w:val="000000"/>
                <w:sz w:val="20"/>
                <w:szCs w:val="20"/>
                <w:lang w:val="en-US" w:eastAsia="zh-CN"/>
              </w:rPr>
              <w:t>。</w:t>
            </w:r>
          </w:p>
          <w:p w14:paraId="4B772B61">
            <w:pPr>
              <w:widowControl/>
              <w:spacing w:line="260" w:lineRule="exact"/>
              <w:ind w:left="21" w:leftChars="10"/>
              <w:textAlignment w:val="center"/>
              <w:rPr>
                <w:rFonts w:ascii="宋体" w:hAnsi="宋体" w:cs="宋体"/>
                <w:color w:val="000000"/>
                <w:sz w:val="20"/>
                <w:szCs w:val="20"/>
              </w:rPr>
            </w:pPr>
            <w:r>
              <w:rPr>
                <w:rFonts w:hint="eastAsia" w:ascii="宋体" w:hAnsi="宋体" w:cs="宋体"/>
                <w:color w:val="000000"/>
                <w:sz w:val="20"/>
                <w:szCs w:val="20"/>
                <w:lang w:val="en-US" w:eastAsia="zh-CN"/>
              </w:rPr>
              <w:t>奖励性绩效工资按照医院《奖励性绩效工资考核分配办法》执行。</w:t>
            </w:r>
          </w:p>
        </w:tc>
        <w:tc>
          <w:tcPr>
            <w:tcW w:w="614" w:type="pct"/>
            <w:vMerge w:val="restart"/>
            <w:tcBorders>
              <w:top w:val="single" w:color="000000" w:sz="4" w:space="0"/>
              <w:left w:val="single" w:color="000000" w:sz="4" w:space="0"/>
              <w:right w:val="single" w:color="000000" w:sz="4" w:space="0"/>
            </w:tcBorders>
            <w:shd w:val="clear" w:color="auto" w:fill="auto"/>
            <w:vAlign w:val="center"/>
          </w:tcPr>
          <w:p w14:paraId="37A4414A">
            <w:pPr>
              <w:widowControl/>
              <w:spacing w:line="260" w:lineRule="exact"/>
              <w:textAlignment w:val="center"/>
              <w:rPr>
                <w:rFonts w:ascii="宋体" w:hAnsi="宋体" w:cs="宋体"/>
                <w:color w:val="000000"/>
                <w:sz w:val="20"/>
                <w:szCs w:val="20"/>
              </w:rPr>
            </w:pPr>
            <w:r>
              <w:rPr>
                <w:rFonts w:hint="eastAsia" w:ascii="宋体" w:hAnsi="宋体" w:cs="宋体"/>
                <w:color w:val="000000"/>
                <w:sz w:val="20"/>
                <w:szCs w:val="20"/>
              </w:rPr>
              <w:t>统筹协调现有临床科研教学设备，为引进人才提供开展临床、科研工作的基本条件。引进人才所申报科研项目经评审合格、立项后，根据人才层次每人提供10万元—30万元科研启动经费。</w:t>
            </w:r>
          </w:p>
        </w:tc>
        <w:tc>
          <w:tcPr>
            <w:tcW w:w="530" w:type="pct"/>
            <w:vMerge w:val="restart"/>
            <w:tcBorders>
              <w:top w:val="single" w:color="000000" w:sz="4" w:space="0"/>
              <w:left w:val="single" w:color="000000" w:sz="4" w:space="0"/>
              <w:right w:val="single" w:color="000000" w:sz="4" w:space="0"/>
            </w:tcBorders>
            <w:shd w:val="clear" w:color="auto" w:fill="auto"/>
            <w:vAlign w:val="center"/>
          </w:tcPr>
          <w:p w14:paraId="22962A6F">
            <w:pPr>
              <w:widowControl/>
              <w:spacing w:line="260" w:lineRule="exact"/>
              <w:jc w:val="both"/>
              <w:textAlignment w:val="center"/>
              <w:rPr>
                <w:rFonts w:hint="eastAsia" w:ascii="宋体" w:hAnsi="宋体" w:cs="宋体"/>
                <w:color w:val="000000"/>
                <w:sz w:val="20"/>
                <w:szCs w:val="20"/>
                <w:lang w:eastAsia="zh-CN"/>
              </w:rPr>
            </w:pPr>
            <w:r>
              <w:rPr>
                <w:rFonts w:hint="eastAsia" w:ascii="宋体" w:hAnsi="宋体" w:eastAsia="宋体" w:cs="宋体"/>
                <w:color w:val="000000"/>
                <w:sz w:val="20"/>
                <w:szCs w:val="20"/>
                <w:lang w:eastAsia="zh-CN"/>
              </w:rPr>
              <w:t>①配偶随迁</w:t>
            </w:r>
            <w:r>
              <w:rPr>
                <w:rFonts w:hint="eastAsia" w:ascii="宋体" w:hAnsi="宋体" w:cs="宋体"/>
                <w:color w:val="000000"/>
                <w:sz w:val="20"/>
                <w:szCs w:val="20"/>
                <w:lang w:eastAsia="zh-CN"/>
              </w:rPr>
              <w:t>；</w:t>
            </w:r>
          </w:p>
          <w:p w14:paraId="25FD65D7">
            <w:pPr>
              <w:widowControl/>
              <w:spacing w:line="260" w:lineRule="exact"/>
              <w:jc w:val="both"/>
              <w:textAlignment w:val="center"/>
              <w:rPr>
                <w:rFonts w:hint="eastAsia" w:ascii="宋体" w:hAnsi="宋体" w:cs="宋体"/>
                <w:color w:val="000000"/>
                <w:sz w:val="20"/>
                <w:szCs w:val="20"/>
                <w:lang w:eastAsia="zh-CN"/>
              </w:rPr>
            </w:pPr>
            <w:r>
              <w:rPr>
                <w:rFonts w:hint="eastAsia" w:ascii="宋体" w:hAnsi="宋体" w:eastAsia="宋体" w:cs="宋体"/>
                <w:color w:val="000000"/>
                <w:sz w:val="20"/>
                <w:szCs w:val="20"/>
                <w:lang w:eastAsia="zh-CN"/>
              </w:rPr>
              <w:t>②子女入学</w:t>
            </w:r>
            <w:r>
              <w:rPr>
                <w:rFonts w:hint="eastAsia" w:ascii="宋体" w:hAnsi="宋体" w:cs="宋体"/>
                <w:color w:val="000000"/>
                <w:sz w:val="20"/>
                <w:szCs w:val="20"/>
                <w:lang w:eastAsia="zh-CN"/>
              </w:rPr>
              <w:t>；</w:t>
            </w:r>
          </w:p>
          <w:p w14:paraId="6941D25E">
            <w:pPr>
              <w:widowControl/>
              <w:spacing w:line="260" w:lineRule="exact"/>
              <w:jc w:val="both"/>
              <w:textAlignment w:val="center"/>
              <w:rPr>
                <w:rFonts w:hint="eastAsia" w:ascii="宋体" w:hAnsi="宋体" w:cs="宋体"/>
                <w:color w:val="000000"/>
                <w:sz w:val="20"/>
                <w:szCs w:val="20"/>
                <w:lang w:eastAsia="zh-CN"/>
              </w:rPr>
            </w:pPr>
            <w:r>
              <w:rPr>
                <w:rFonts w:hint="eastAsia" w:ascii="宋体" w:hAnsi="宋体" w:eastAsia="宋体" w:cs="宋体"/>
                <w:color w:val="000000"/>
                <w:sz w:val="20"/>
                <w:szCs w:val="20"/>
                <w:lang w:eastAsia="zh-CN"/>
              </w:rPr>
              <w:t>③住房保障</w:t>
            </w:r>
            <w:r>
              <w:rPr>
                <w:rFonts w:hint="eastAsia" w:ascii="宋体" w:hAnsi="宋体" w:cs="宋体"/>
                <w:color w:val="000000"/>
                <w:sz w:val="20"/>
                <w:szCs w:val="20"/>
                <w:lang w:eastAsia="zh-CN"/>
              </w:rPr>
              <w:t>；</w:t>
            </w:r>
          </w:p>
          <w:p w14:paraId="72FFBCB6">
            <w:pPr>
              <w:widowControl/>
              <w:spacing w:line="260" w:lineRule="exact"/>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④特殊情况按“一事一议”原则协商解决。</w:t>
            </w:r>
          </w:p>
        </w:tc>
        <w:tc>
          <w:tcPr>
            <w:tcW w:w="507" w:type="pct"/>
            <w:vMerge w:val="restart"/>
            <w:tcBorders>
              <w:top w:val="single" w:color="auto" w:sz="4" w:space="0"/>
              <w:left w:val="single" w:color="000000" w:sz="4" w:space="0"/>
              <w:right w:val="single" w:color="000000" w:sz="8" w:space="0"/>
            </w:tcBorders>
            <w:shd w:val="clear" w:color="auto" w:fill="auto"/>
            <w:vAlign w:val="center"/>
          </w:tcPr>
          <w:p w14:paraId="1B29859A">
            <w:pPr>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引进人才按“不重复”原则申报，按就高原则兑现待遇，市级补助不重复享受，生活补助分1年—6年发放，具体由市人民医院根据年度考核及作用发挥情况与引进人才协商确定，并可协商调整。</w:t>
            </w:r>
          </w:p>
        </w:tc>
        <w:tc>
          <w:tcPr>
            <w:tcW w:w="881" w:type="pct"/>
            <w:vMerge w:val="restart"/>
            <w:tcBorders>
              <w:top w:val="single" w:color="auto" w:sz="4" w:space="0"/>
              <w:left w:val="single" w:color="000000" w:sz="4" w:space="0"/>
              <w:right w:val="single" w:color="000000" w:sz="8" w:space="0"/>
            </w:tcBorders>
            <w:shd w:val="clear" w:color="auto" w:fill="auto"/>
            <w:vAlign w:val="center"/>
          </w:tcPr>
          <w:p w14:paraId="73EFF89E">
            <w:pPr>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①医院引进的各类人才优先推荐进入国家和省级、州级人才计划，享受相应的待遇支持和服务保障；</w:t>
            </w:r>
          </w:p>
          <w:p w14:paraId="533DC445">
            <w:pPr>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②在服务期间，主持、参与并帮助医院获得国家或省（部）级重大科技奖项的，给予国家或省（部）同等额度的资金奖励；</w:t>
            </w:r>
          </w:p>
          <w:p w14:paraId="44EB7765">
            <w:pPr>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③获得对医院适用且能创造效益的国内发明专利授权，参照《云南省专利资助办法（试行）》等规定予以奖励；</w:t>
            </w:r>
          </w:p>
          <w:p w14:paraId="403D5C6F">
            <w:pPr>
              <w:spacing w:line="260" w:lineRule="exact"/>
              <w:ind w:left="21" w:leftChars="1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④引进人才在申请科研经费资助、认定高新技术成果转化、申报科技奖励等方面积极给予支持。</w:t>
            </w:r>
          </w:p>
        </w:tc>
      </w:tr>
      <w:tr w14:paraId="0C181A67">
        <w:tblPrEx>
          <w:tblCellMar>
            <w:top w:w="0" w:type="dxa"/>
            <w:left w:w="108" w:type="dxa"/>
            <w:bottom w:w="0" w:type="dxa"/>
            <w:right w:w="108" w:type="dxa"/>
          </w:tblCellMar>
        </w:tblPrEx>
        <w:trPr>
          <w:trHeight w:val="2138"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59EA3F">
            <w:pPr>
              <w:widowControl/>
              <w:spacing w:line="260" w:lineRule="exact"/>
              <w:ind w:left="21" w:leftChars="10"/>
              <w:jc w:val="center"/>
              <w:textAlignment w:val="center"/>
              <w:rPr>
                <w:rFonts w:ascii="宋体" w:hAnsi="宋体" w:cs="宋体"/>
                <w:color w:val="000000"/>
                <w:sz w:val="20"/>
                <w:szCs w:val="20"/>
              </w:rPr>
            </w:pPr>
            <w:r>
              <w:rPr>
                <w:rFonts w:hint="eastAsia" w:ascii="宋体" w:hAnsi="宋体" w:cs="宋体"/>
                <w:color w:val="000000"/>
                <w:sz w:val="20"/>
                <w:szCs w:val="20"/>
              </w:rPr>
              <w:t>规培生</w:t>
            </w:r>
            <w:r>
              <w:rPr>
                <w:rFonts w:hint="eastAsia" w:ascii="宋体" w:hAnsi="宋体" w:cs="宋体"/>
                <w:color w:val="000000"/>
                <w:kern w:val="0"/>
                <w:sz w:val="20"/>
                <w:szCs w:val="20"/>
              </w:rPr>
              <w:br w:type="page"/>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21B1">
            <w:pPr>
              <w:widowControl/>
              <w:spacing w:line="260" w:lineRule="exact"/>
              <w:jc w:val="both"/>
              <w:textAlignment w:val="center"/>
              <w:rPr>
                <w:rFonts w:hint="eastAsia" w:ascii="宋体" w:hAnsi="宋体" w:cs="宋体"/>
                <w:color w:val="000000"/>
                <w:sz w:val="20"/>
                <w:szCs w:val="20"/>
              </w:rPr>
            </w:pPr>
            <w:r>
              <w:rPr>
                <w:rFonts w:hint="eastAsia" w:ascii="宋体" w:hAnsi="宋体" w:cs="宋体"/>
                <w:color w:val="000000"/>
                <w:sz w:val="20"/>
                <w:szCs w:val="20"/>
              </w:rPr>
              <w:t>①本科及以上学历，取得执业医师资格及住院医师规范化培训合格证；</w:t>
            </w:r>
          </w:p>
          <w:p w14:paraId="27D2019C">
            <w:pPr>
              <w:widowControl/>
              <w:spacing w:line="260" w:lineRule="exact"/>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②年龄在35周岁及以下。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0B3A">
            <w:pPr>
              <w:widowControl/>
              <w:spacing w:line="260" w:lineRule="exact"/>
              <w:ind w:left="21" w:leftChars="10"/>
              <w:jc w:val="both"/>
              <w:textAlignment w:val="center"/>
              <w:rPr>
                <w:rFonts w:ascii="宋体" w:hAnsi="宋体" w:cs="宋体"/>
                <w:color w:val="000000"/>
                <w:sz w:val="20"/>
                <w:szCs w:val="20"/>
              </w:rPr>
            </w:pPr>
            <w:r>
              <w:rPr>
                <w:rFonts w:hint="eastAsia" w:ascii="宋体" w:hAnsi="宋体" w:cs="宋体"/>
                <w:color w:val="000000"/>
                <w:sz w:val="20"/>
                <w:szCs w:val="20"/>
              </w:rPr>
              <w:t>每人10万元</w:t>
            </w:r>
            <w:r>
              <w:rPr>
                <w:rFonts w:hint="eastAsia" w:ascii="宋体" w:hAnsi="宋体" w:cs="宋体"/>
                <w:color w:val="000000"/>
                <w:sz w:val="20"/>
                <w:szCs w:val="20"/>
                <w:lang w:eastAsia="zh-CN"/>
              </w:rPr>
              <w:t>。</w:t>
            </w:r>
          </w:p>
        </w:tc>
        <w:tc>
          <w:tcPr>
            <w:tcW w:w="561" w:type="pct"/>
            <w:vMerge w:val="continue"/>
            <w:tcBorders>
              <w:left w:val="single" w:color="000000" w:sz="4" w:space="0"/>
              <w:right w:val="single" w:color="000000" w:sz="4" w:space="0"/>
            </w:tcBorders>
            <w:shd w:val="clear" w:color="auto" w:fill="auto"/>
            <w:vAlign w:val="center"/>
          </w:tcPr>
          <w:p w14:paraId="1CF8920E">
            <w:pPr>
              <w:widowControl/>
              <w:spacing w:line="260" w:lineRule="exact"/>
              <w:ind w:left="21" w:leftChars="10"/>
              <w:textAlignment w:val="center"/>
              <w:rPr>
                <w:rFonts w:hint="eastAsia" w:ascii="宋体" w:hAnsi="宋体" w:eastAsia="宋体" w:cs="宋体"/>
                <w:color w:val="000000"/>
                <w:sz w:val="20"/>
                <w:szCs w:val="20"/>
                <w:lang w:val="en-US" w:eastAsia="zh-CN"/>
              </w:rPr>
            </w:pPr>
          </w:p>
        </w:tc>
        <w:tc>
          <w:tcPr>
            <w:tcW w:w="614" w:type="pct"/>
            <w:vMerge w:val="continue"/>
            <w:tcBorders>
              <w:left w:val="single" w:color="000000" w:sz="4" w:space="0"/>
              <w:right w:val="single" w:color="000000" w:sz="4" w:space="0"/>
            </w:tcBorders>
            <w:shd w:val="clear" w:color="auto" w:fill="auto"/>
            <w:vAlign w:val="center"/>
          </w:tcPr>
          <w:p w14:paraId="2BE5B267">
            <w:pPr>
              <w:widowControl/>
              <w:spacing w:line="260" w:lineRule="exact"/>
              <w:textAlignment w:val="center"/>
              <w:rPr>
                <w:rFonts w:ascii="宋体" w:hAnsi="宋体" w:cs="宋体"/>
                <w:color w:val="000000"/>
                <w:sz w:val="20"/>
                <w:szCs w:val="20"/>
              </w:rPr>
            </w:pPr>
          </w:p>
        </w:tc>
        <w:tc>
          <w:tcPr>
            <w:tcW w:w="530" w:type="pct"/>
            <w:vMerge w:val="continue"/>
            <w:tcBorders>
              <w:left w:val="single" w:color="000000" w:sz="4" w:space="0"/>
              <w:right w:val="single" w:color="000000" w:sz="4" w:space="0"/>
            </w:tcBorders>
            <w:shd w:val="clear" w:color="auto" w:fill="auto"/>
            <w:vAlign w:val="center"/>
          </w:tcPr>
          <w:p w14:paraId="3B923920">
            <w:pPr>
              <w:widowControl/>
              <w:spacing w:line="260" w:lineRule="exact"/>
              <w:ind w:left="21" w:leftChars="10"/>
              <w:jc w:val="center"/>
              <w:textAlignment w:val="center"/>
              <w:rPr>
                <w:rFonts w:hint="eastAsia" w:ascii="宋体" w:hAnsi="宋体" w:eastAsia="宋体" w:cs="宋体"/>
                <w:color w:val="000000"/>
                <w:sz w:val="20"/>
                <w:szCs w:val="20"/>
                <w:lang w:eastAsia="zh-CN"/>
              </w:rPr>
            </w:pPr>
          </w:p>
        </w:tc>
        <w:tc>
          <w:tcPr>
            <w:tcW w:w="507" w:type="pct"/>
            <w:vMerge w:val="continue"/>
            <w:tcBorders>
              <w:left w:val="single" w:color="000000" w:sz="4" w:space="0"/>
              <w:right w:val="single" w:color="000000" w:sz="8" w:space="0"/>
            </w:tcBorders>
            <w:shd w:val="clear" w:color="auto" w:fill="auto"/>
            <w:vAlign w:val="center"/>
          </w:tcPr>
          <w:p w14:paraId="2C1C6416">
            <w:pPr>
              <w:spacing w:line="260" w:lineRule="exact"/>
              <w:ind w:left="21" w:leftChars="10"/>
              <w:jc w:val="left"/>
              <w:textAlignment w:val="center"/>
              <w:rPr>
                <w:rFonts w:hint="eastAsia"/>
                <w:lang w:eastAsia="zh-CN"/>
              </w:rPr>
            </w:pPr>
          </w:p>
        </w:tc>
        <w:tc>
          <w:tcPr>
            <w:tcW w:w="881" w:type="pct"/>
            <w:vMerge w:val="continue"/>
            <w:tcBorders>
              <w:left w:val="single" w:color="000000" w:sz="4" w:space="0"/>
              <w:right w:val="single" w:color="000000" w:sz="8" w:space="0"/>
            </w:tcBorders>
            <w:shd w:val="clear" w:color="auto" w:fill="auto"/>
            <w:vAlign w:val="center"/>
          </w:tcPr>
          <w:p w14:paraId="50916F23">
            <w:pPr>
              <w:spacing w:line="260" w:lineRule="exact"/>
              <w:ind w:left="21" w:leftChars="10"/>
              <w:jc w:val="left"/>
              <w:textAlignment w:val="center"/>
              <w:rPr>
                <w:rFonts w:hint="eastAsia"/>
                <w:lang w:eastAsia="zh-CN"/>
              </w:rPr>
            </w:pPr>
          </w:p>
        </w:tc>
      </w:tr>
      <w:tr w14:paraId="1DCDFEAF">
        <w:tblPrEx>
          <w:tblCellMar>
            <w:top w:w="0" w:type="dxa"/>
            <w:left w:w="108" w:type="dxa"/>
            <w:bottom w:w="0" w:type="dxa"/>
            <w:right w:w="108" w:type="dxa"/>
          </w:tblCellMar>
        </w:tblPrEx>
        <w:trPr>
          <w:trHeight w:val="1887" w:hRule="atLeast"/>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F713DE">
            <w:pPr>
              <w:widowControl/>
              <w:spacing w:line="260" w:lineRule="exact"/>
              <w:ind w:left="21" w:leftChars="10"/>
              <w:jc w:val="left"/>
              <w:textAlignment w:val="center"/>
              <w:rPr>
                <w:rFonts w:ascii="宋体" w:hAnsi="宋体" w:cs="宋体"/>
                <w:color w:val="000000"/>
                <w:sz w:val="20"/>
                <w:szCs w:val="20"/>
              </w:rPr>
            </w:pPr>
            <w:r>
              <w:rPr>
                <w:rFonts w:hint="eastAsia" w:ascii="宋体" w:hAnsi="宋体" w:cs="宋体"/>
                <w:color w:val="000000"/>
                <w:sz w:val="20"/>
                <w:szCs w:val="20"/>
              </w:rPr>
              <w:t>其他人才（含银龄医师）</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C40E">
            <w:pPr>
              <w:widowControl/>
              <w:spacing w:line="260" w:lineRule="exact"/>
              <w:ind w:left="21" w:leftChars="10"/>
              <w:jc w:val="both"/>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根据弥勒市人民医院人才队伍建设需要，经市卫生健康局审核后，报市委人才工作领导小组认定的其他人才。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155F">
            <w:pPr>
              <w:widowControl/>
              <w:spacing w:line="260" w:lineRule="exact"/>
              <w:ind w:left="21" w:leftChars="10"/>
              <w:jc w:val="both"/>
              <w:textAlignment w:val="center"/>
              <w:rPr>
                <w:rFonts w:ascii="宋体" w:hAnsi="宋体" w:cs="宋体"/>
                <w:color w:val="000000"/>
                <w:sz w:val="20"/>
                <w:szCs w:val="20"/>
              </w:rPr>
            </w:pPr>
            <w:r>
              <w:rPr>
                <w:rFonts w:hint="eastAsia" w:ascii="宋体" w:hAnsi="宋体" w:cs="宋体"/>
                <w:color w:val="000000"/>
                <w:sz w:val="20"/>
                <w:szCs w:val="20"/>
              </w:rPr>
              <w:t>按照“一人一策”</w:t>
            </w:r>
            <w:r>
              <w:rPr>
                <w:rFonts w:hint="eastAsia" w:ascii="宋体" w:hAnsi="宋体" w:cs="宋体"/>
                <w:color w:val="000000"/>
                <w:sz w:val="20"/>
                <w:szCs w:val="20"/>
                <w:lang w:eastAsia="zh-CN"/>
              </w:rPr>
              <w:t>、</w:t>
            </w:r>
            <w:r>
              <w:rPr>
                <w:rFonts w:hint="eastAsia" w:ascii="宋体" w:hAnsi="宋体" w:cs="宋体"/>
                <w:color w:val="000000"/>
                <w:sz w:val="20"/>
                <w:szCs w:val="20"/>
              </w:rPr>
              <w:t>“一事一议”原则，根据签订协议进行发放。</w:t>
            </w:r>
          </w:p>
        </w:tc>
        <w:tc>
          <w:tcPr>
            <w:tcW w:w="561" w:type="pct"/>
            <w:vMerge w:val="continue"/>
            <w:tcBorders>
              <w:left w:val="single" w:color="000000" w:sz="4" w:space="0"/>
              <w:bottom w:val="single" w:color="000000" w:sz="4" w:space="0"/>
              <w:right w:val="single" w:color="000000" w:sz="4" w:space="0"/>
            </w:tcBorders>
            <w:shd w:val="clear" w:color="auto" w:fill="auto"/>
            <w:vAlign w:val="center"/>
          </w:tcPr>
          <w:p w14:paraId="6A6F2DF8">
            <w:pPr>
              <w:widowControl/>
              <w:spacing w:line="260" w:lineRule="exact"/>
              <w:ind w:left="21" w:leftChars="10"/>
              <w:textAlignment w:val="center"/>
              <w:rPr>
                <w:rFonts w:hint="default" w:ascii="宋体" w:hAnsi="宋体" w:eastAsia="宋体" w:cs="宋体"/>
                <w:color w:val="000000"/>
                <w:sz w:val="20"/>
                <w:szCs w:val="20"/>
                <w:lang w:val="en-US" w:eastAsia="zh-CN"/>
              </w:rPr>
            </w:pPr>
          </w:p>
        </w:tc>
        <w:tc>
          <w:tcPr>
            <w:tcW w:w="614" w:type="pct"/>
            <w:vMerge w:val="continue"/>
            <w:tcBorders>
              <w:left w:val="single" w:color="000000" w:sz="4" w:space="0"/>
              <w:bottom w:val="single" w:color="000000" w:sz="4" w:space="0"/>
              <w:right w:val="single" w:color="000000" w:sz="4" w:space="0"/>
            </w:tcBorders>
            <w:shd w:val="clear" w:color="auto" w:fill="auto"/>
            <w:vAlign w:val="center"/>
          </w:tcPr>
          <w:p w14:paraId="3E83F70A">
            <w:pPr>
              <w:widowControl/>
              <w:spacing w:line="260" w:lineRule="exact"/>
              <w:ind w:left="21" w:leftChars="10"/>
              <w:textAlignment w:val="center"/>
              <w:rPr>
                <w:rFonts w:ascii="宋体" w:hAnsi="宋体" w:cs="宋体"/>
                <w:color w:val="000000"/>
                <w:sz w:val="20"/>
                <w:szCs w:val="20"/>
              </w:rPr>
            </w:pPr>
          </w:p>
        </w:tc>
        <w:tc>
          <w:tcPr>
            <w:tcW w:w="530" w:type="pct"/>
            <w:vMerge w:val="continue"/>
            <w:tcBorders>
              <w:left w:val="single" w:color="000000" w:sz="4" w:space="0"/>
              <w:bottom w:val="single" w:color="000000" w:sz="4" w:space="0"/>
              <w:right w:val="single" w:color="000000" w:sz="4" w:space="0"/>
            </w:tcBorders>
            <w:shd w:val="clear" w:color="auto" w:fill="auto"/>
            <w:vAlign w:val="center"/>
          </w:tcPr>
          <w:p w14:paraId="11E7974C">
            <w:pPr>
              <w:widowControl/>
              <w:spacing w:line="260" w:lineRule="exact"/>
              <w:ind w:left="21" w:leftChars="10"/>
              <w:jc w:val="center"/>
              <w:textAlignment w:val="center"/>
              <w:rPr>
                <w:rFonts w:hint="eastAsia" w:ascii="宋体" w:hAnsi="宋体" w:eastAsia="宋体" w:cs="宋体"/>
                <w:color w:val="000000"/>
                <w:sz w:val="20"/>
                <w:szCs w:val="20"/>
                <w:lang w:eastAsia="zh-CN"/>
              </w:rPr>
            </w:pPr>
          </w:p>
        </w:tc>
        <w:tc>
          <w:tcPr>
            <w:tcW w:w="507" w:type="pct"/>
            <w:vMerge w:val="continue"/>
            <w:tcBorders>
              <w:left w:val="single" w:color="000000" w:sz="4" w:space="0"/>
              <w:bottom w:val="single" w:color="000000" w:sz="4" w:space="0"/>
              <w:right w:val="single" w:color="000000" w:sz="8" w:space="0"/>
            </w:tcBorders>
            <w:shd w:val="clear" w:color="auto" w:fill="auto"/>
            <w:vAlign w:val="center"/>
          </w:tcPr>
          <w:p w14:paraId="1B8F4F63">
            <w:pPr>
              <w:widowControl/>
              <w:spacing w:line="260" w:lineRule="exact"/>
              <w:ind w:left="21" w:leftChars="10"/>
              <w:jc w:val="left"/>
              <w:textAlignment w:val="center"/>
              <w:rPr>
                <w:rFonts w:ascii="宋体" w:hAnsi="宋体" w:cs="宋体"/>
                <w:color w:val="000000"/>
                <w:sz w:val="20"/>
                <w:szCs w:val="20"/>
              </w:rPr>
            </w:pPr>
          </w:p>
        </w:tc>
        <w:tc>
          <w:tcPr>
            <w:tcW w:w="881" w:type="pct"/>
            <w:vMerge w:val="continue"/>
            <w:tcBorders>
              <w:left w:val="single" w:color="000000" w:sz="4" w:space="0"/>
              <w:bottom w:val="single" w:color="000000" w:sz="4" w:space="0"/>
              <w:right w:val="single" w:color="000000" w:sz="8" w:space="0"/>
            </w:tcBorders>
            <w:shd w:val="clear" w:color="auto" w:fill="auto"/>
            <w:vAlign w:val="center"/>
          </w:tcPr>
          <w:p w14:paraId="0977AABD">
            <w:pPr>
              <w:widowControl/>
              <w:spacing w:line="260" w:lineRule="exact"/>
              <w:ind w:left="21" w:leftChars="10"/>
              <w:jc w:val="left"/>
              <w:textAlignment w:val="center"/>
              <w:rPr>
                <w:rFonts w:ascii="宋体" w:hAnsi="宋体" w:cs="宋体"/>
                <w:color w:val="000000"/>
                <w:sz w:val="20"/>
                <w:szCs w:val="20"/>
              </w:rPr>
            </w:pPr>
          </w:p>
        </w:tc>
      </w:tr>
    </w:tbl>
    <w:p w14:paraId="4DA37E09">
      <w:pPr>
        <w:widowControl/>
        <w:spacing w:line="240" w:lineRule="auto"/>
        <w:ind w:firstLine="0" w:firstLineChars="0"/>
        <w:jc w:val="center"/>
        <w:textAlignment w:val="center"/>
        <w:rPr>
          <w:rFonts w:hint="eastAsia"/>
        </w:rPr>
      </w:pPr>
    </w:p>
    <w:sectPr>
      <w:pgSz w:w="16838" w:h="11906" w:orient="landscape"/>
      <w:pgMar w:top="1814"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090D"/>
    <w:rsid w:val="004E4884"/>
    <w:rsid w:val="00672E2D"/>
    <w:rsid w:val="00740A9C"/>
    <w:rsid w:val="00A72C0B"/>
    <w:rsid w:val="00C36AF6"/>
    <w:rsid w:val="00CC588E"/>
    <w:rsid w:val="00FD5677"/>
    <w:rsid w:val="011D690D"/>
    <w:rsid w:val="01BE7323"/>
    <w:rsid w:val="02341C64"/>
    <w:rsid w:val="03534E32"/>
    <w:rsid w:val="046C3066"/>
    <w:rsid w:val="04BA0275"/>
    <w:rsid w:val="052E5261"/>
    <w:rsid w:val="068B090D"/>
    <w:rsid w:val="074B2D67"/>
    <w:rsid w:val="0757624F"/>
    <w:rsid w:val="078E1545"/>
    <w:rsid w:val="081E6D6D"/>
    <w:rsid w:val="084830B5"/>
    <w:rsid w:val="08B45A7C"/>
    <w:rsid w:val="09815806"/>
    <w:rsid w:val="09874E27"/>
    <w:rsid w:val="0A232A84"/>
    <w:rsid w:val="0A825391"/>
    <w:rsid w:val="0AD6392F"/>
    <w:rsid w:val="0B891F50"/>
    <w:rsid w:val="0E1B7FD7"/>
    <w:rsid w:val="0E794CFD"/>
    <w:rsid w:val="0EC5239A"/>
    <w:rsid w:val="0F7F02A9"/>
    <w:rsid w:val="10036F74"/>
    <w:rsid w:val="10391686"/>
    <w:rsid w:val="106B3052"/>
    <w:rsid w:val="106D2276"/>
    <w:rsid w:val="1198779A"/>
    <w:rsid w:val="120B24D6"/>
    <w:rsid w:val="12320AF7"/>
    <w:rsid w:val="123A60B6"/>
    <w:rsid w:val="12B23FBC"/>
    <w:rsid w:val="12F07F48"/>
    <w:rsid w:val="13D011ED"/>
    <w:rsid w:val="15D96805"/>
    <w:rsid w:val="163836F0"/>
    <w:rsid w:val="16BE3BF5"/>
    <w:rsid w:val="17D734C7"/>
    <w:rsid w:val="17D80CE7"/>
    <w:rsid w:val="185A32DE"/>
    <w:rsid w:val="18CD3816"/>
    <w:rsid w:val="190D3E0E"/>
    <w:rsid w:val="19B412DF"/>
    <w:rsid w:val="19ED78B8"/>
    <w:rsid w:val="1A0062D3"/>
    <w:rsid w:val="1B5125DE"/>
    <w:rsid w:val="1B5F47B5"/>
    <w:rsid w:val="1BF71712"/>
    <w:rsid w:val="1E202EF7"/>
    <w:rsid w:val="1F3507CD"/>
    <w:rsid w:val="204D01CF"/>
    <w:rsid w:val="2116556C"/>
    <w:rsid w:val="23255AD4"/>
    <w:rsid w:val="257B1580"/>
    <w:rsid w:val="25D30673"/>
    <w:rsid w:val="263A7655"/>
    <w:rsid w:val="265C0384"/>
    <w:rsid w:val="271E423C"/>
    <w:rsid w:val="27C63218"/>
    <w:rsid w:val="28452D46"/>
    <w:rsid w:val="28856217"/>
    <w:rsid w:val="2A524929"/>
    <w:rsid w:val="2BC846F6"/>
    <w:rsid w:val="2C821472"/>
    <w:rsid w:val="2C9C2F72"/>
    <w:rsid w:val="2CD95E7E"/>
    <w:rsid w:val="2D2C7FCB"/>
    <w:rsid w:val="2D8C77D5"/>
    <w:rsid w:val="2DD90EBD"/>
    <w:rsid w:val="2DEF4F55"/>
    <w:rsid w:val="2E240862"/>
    <w:rsid w:val="2E6115DE"/>
    <w:rsid w:val="2E671B3F"/>
    <w:rsid w:val="2E941D00"/>
    <w:rsid w:val="2EF74361"/>
    <w:rsid w:val="2F146650"/>
    <w:rsid w:val="305B7A51"/>
    <w:rsid w:val="3179657B"/>
    <w:rsid w:val="32D83E39"/>
    <w:rsid w:val="32F32D69"/>
    <w:rsid w:val="33E41040"/>
    <w:rsid w:val="34B2447C"/>
    <w:rsid w:val="35735C42"/>
    <w:rsid w:val="35F44AE6"/>
    <w:rsid w:val="372F136D"/>
    <w:rsid w:val="38821599"/>
    <w:rsid w:val="38A345A1"/>
    <w:rsid w:val="38F83890"/>
    <w:rsid w:val="396E1381"/>
    <w:rsid w:val="39F3557E"/>
    <w:rsid w:val="3A3E6C77"/>
    <w:rsid w:val="3AC84793"/>
    <w:rsid w:val="3B5D3288"/>
    <w:rsid w:val="3B8B5737"/>
    <w:rsid w:val="3D222DB5"/>
    <w:rsid w:val="3F4D5267"/>
    <w:rsid w:val="40380F3D"/>
    <w:rsid w:val="420B2427"/>
    <w:rsid w:val="423A41C8"/>
    <w:rsid w:val="42813BA5"/>
    <w:rsid w:val="42F74720"/>
    <w:rsid w:val="431A6DA3"/>
    <w:rsid w:val="450F36EA"/>
    <w:rsid w:val="45561F04"/>
    <w:rsid w:val="45683EE7"/>
    <w:rsid w:val="458D3152"/>
    <w:rsid w:val="46D30747"/>
    <w:rsid w:val="49D24CE6"/>
    <w:rsid w:val="4A6D204A"/>
    <w:rsid w:val="4ACA785A"/>
    <w:rsid w:val="4B400B9A"/>
    <w:rsid w:val="4BE07B8E"/>
    <w:rsid w:val="4D2B1EF7"/>
    <w:rsid w:val="4E465CA3"/>
    <w:rsid w:val="4ECD3D05"/>
    <w:rsid w:val="4F701229"/>
    <w:rsid w:val="50602E08"/>
    <w:rsid w:val="50A168BE"/>
    <w:rsid w:val="50D93DA6"/>
    <w:rsid w:val="510C6D30"/>
    <w:rsid w:val="51B64EEE"/>
    <w:rsid w:val="51E70FFE"/>
    <w:rsid w:val="5229308F"/>
    <w:rsid w:val="527A5F1B"/>
    <w:rsid w:val="528F0A7C"/>
    <w:rsid w:val="534B6CCB"/>
    <w:rsid w:val="535C6D3D"/>
    <w:rsid w:val="53EF2CE1"/>
    <w:rsid w:val="55F94250"/>
    <w:rsid w:val="564156AD"/>
    <w:rsid w:val="57236B81"/>
    <w:rsid w:val="57340D8E"/>
    <w:rsid w:val="57C63606"/>
    <w:rsid w:val="58E5516E"/>
    <w:rsid w:val="5BF05C48"/>
    <w:rsid w:val="5E405124"/>
    <w:rsid w:val="5FB40CBE"/>
    <w:rsid w:val="609D605B"/>
    <w:rsid w:val="60D25681"/>
    <w:rsid w:val="615C33BC"/>
    <w:rsid w:val="62EE69AF"/>
    <w:rsid w:val="62FE6ADA"/>
    <w:rsid w:val="637C4FE4"/>
    <w:rsid w:val="63927568"/>
    <w:rsid w:val="63C811DC"/>
    <w:rsid w:val="65091D3A"/>
    <w:rsid w:val="65757142"/>
    <w:rsid w:val="65BF03BD"/>
    <w:rsid w:val="65D42AD7"/>
    <w:rsid w:val="66CA7019"/>
    <w:rsid w:val="671A5B7D"/>
    <w:rsid w:val="6958090C"/>
    <w:rsid w:val="697C532A"/>
    <w:rsid w:val="6A0A6887"/>
    <w:rsid w:val="6B6F018F"/>
    <w:rsid w:val="6BEB178F"/>
    <w:rsid w:val="6D2C27DC"/>
    <w:rsid w:val="6D9B3AD4"/>
    <w:rsid w:val="6E3F0F3B"/>
    <w:rsid w:val="6E7D762B"/>
    <w:rsid w:val="6EDF260E"/>
    <w:rsid w:val="6FAF5E0E"/>
    <w:rsid w:val="70096E76"/>
    <w:rsid w:val="71B623F0"/>
    <w:rsid w:val="72A44BC2"/>
    <w:rsid w:val="749E165C"/>
    <w:rsid w:val="75F776FF"/>
    <w:rsid w:val="778E4093"/>
    <w:rsid w:val="77A64358"/>
    <w:rsid w:val="77BD0ACC"/>
    <w:rsid w:val="77D32C78"/>
    <w:rsid w:val="79450A69"/>
    <w:rsid w:val="79FD4660"/>
    <w:rsid w:val="7A5944E4"/>
    <w:rsid w:val="7EC47165"/>
    <w:rsid w:val="7F390D88"/>
    <w:rsid w:val="7F8E710A"/>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outlineLvl w:val="9"/>
    </w:pPr>
    <w:rPr>
      <w:rFonts w:ascii="Arial" w:hAnsi="Arial" w:eastAsia="方正黑体_GBK" w:cs="Times New Roman"/>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rPr>
      <w:rFonts w:ascii="Times New Roman" w:hAnsi="Times New Roman" w:eastAsia="方正仿宋_GBK" w:cstheme="minorBidi"/>
      <w:spacing w:val="0"/>
      <w:szCs w:val="32"/>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0" w:after="0" w:afterAutospacing="0"/>
      <w:ind w:left="0" w:right="0"/>
      <w:jc w:val="both"/>
    </w:pPr>
    <w:rPr>
      <w:rFonts w:ascii="Times New Roman" w:hAnsi="Times New Roman" w:eastAsia="方正仿宋_GBK" w:cstheme="minorBidi"/>
      <w:kern w:val="0"/>
      <w:sz w:val="32"/>
      <w:szCs w:val="24"/>
      <w:lang w:eastAsia="zh-CN" w:bidi="ar"/>
    </w:rPr>
  </w:style>
  <w:style w:type="character" w:styleId="9">
    <w:name w:val="page number"/>
    <w:basedOn w:val="8"/>
    <w:qFormat/>
    <w:uiPriority w:val="99"/>
    <w:rPr>
      <w:rFonts w:ascii="Times New Roman" w:hAnsi="Times New Roman" w:eastAsia="宋体" w:cs="Times New Roman"/>
      <w:sz w:val="21"/>
      <w:szCs w:val="21"/>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1510</Characters>
  <Lines>32</Lines>
  <Paragraphs>9</Paragraphs>
  <TotalTime>14</TotalTime>
  <ScaleCrop>false</ScaleCrop>
  <LinksUpToDate>false</LinksUpToDate>
  <CharactersWithSpaces>1510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2025-06-04T08:32:00Z</dcterms:created>
  <dc:creator>沐白。</dc:creator>
  <cp:lastModifiedBy>葉</cp:lastModifiedBy>
  <dcterms:modified xsi:type="dcterms:W3CDTF">2025-08-13T06:28:20Z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F165697B64EC4AB489B9FCAB548C54E8_13</vt:lpwstr>
  </property>
  <property fmtid="{D5CDD505-2E9C-101B-9397-08002B2CF9AE}" pid="4" name="KSOTemplateDocerSaveRecord">
    <vt:lpwstr>eyJoZGlkIjoiNTc0OGIxN2Y2YzBlN2JmMWQ3MzFlZjhiOGVjYzk1YmUiLCJ1c2VySWQiOiIzMjgxODI1NjUifQ==</vt:lpwstr>
  </property>
</Properties>
</file>