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黑体" w:eastAsia="微软雅黑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绵阳光子科创产业发展有限责任公司岗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位需求表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微软雅黑" w:hAnsi="黑体" w:eastAsia="微软雅黑"/>
          <w:kern w:val="0"/>
          <w:sz w:val="44"/>
          <w:szCs w:val="44"/>
          <w:lang w:val="en-US" w:eastAsia="zh-CN"/>
        </w:rPr>
      </w:pPr>
    </w:p>
    <w:tbl>
      <w:tblPr>
        <w:tblStyle w:val="5"/>
        <w:tblW w:w="13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688"/>
        <w:gridCol w:w="771"/>
        <w:gridCol w:w="780"/>
        <w:gridCol w:w="1330"/>
        <w:gridCol w:w="1355"/>
        <w:gridCol w:w="4245"/>
        <w:gridCol w:w="4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bidi w:val="0"/>
              <w:adjustRightInd/>
              <w:snapToGrid w:val="0"/>
              <w:spacing w:line="576" w:lineRule="exact"/>
              <w:jc w:val="center"/>
              <w:rPr>
                <w:rFonts w:hint="default" w:ascii="黑体" w:hAnsi="黑体" w:eastAsia="黑体" w:cs="黑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bidi w:val="0"/>
              <w:adjustRightInd/>
              <w:snapToGrid w:val="0"/>
              <w:spacing w:line="576" w:lineRule="exact"/>
              <w:jc w:val="center"/>
              <w:rPr>
                <w:rFonts w:hint="default" w:ascii="黑体" w:hAnsi="黑体" w:eastAsia="黑体" w:cs="黑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  <w:t>部门名称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bidi w:val="0"/>
              <w:adjustRightInd/>
              <w:snapToGrid w:val="0"/>
              <w:spacing w:line="576" w:lineRule="exact"/>
              <w:jc w:val="center"/>
              <w:rPr>
                <w:rFonts w:hint="eastAsia" w:ascii="黑体" w:hAnsi="黑体" w:eastAsia="黑体" w:cs="黑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  <w:t>岗位需求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bidi w:val="0"/>
              <w:adjustRightInd/>
              <w:snapToGrid w:val="0"/>
              <w:spacing w:line="576" w:lineRule="exact"/>
              <w:jc w:val="center"/>
              <w:rPr>
                <w:rFonts w:hint="eastAsia" w:ascii="黑体" w:hAnsi="黑体" w:eastAsia="黑体" w:cs="黑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bidi w:val="0"/>
              <w:adjustRightInd/>
              <w:snapToGrid w:val="0"/>
              <w:spacing w:line="576" w:lineRule="exact"/>
              <w:jc w:val="center"/>
              <w:rPr>
                <w:rFonts w:hint="eastAsia" w:ascii="黑体" w:hAnsi="黑体" w:eastAsia="黑体" w:cs="黑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bidi w:val="0"/>
              <w:adjustRightInd/>
              <w:snapToGrid w:val="0"/>
              <w:spacing w:line="576" w:lineRule="exact"/>
              <w:jc w:val="center"/>
              <w:rPr>
                <w:rFonts w:hint="default" w:ascii="黑体" w:hAnsi="黑体" w:eastAsia="黑体" w:cs="黑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4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bidi w:val="0"/>
              <w:adjustRightInd/>
              <w:snapToGrid w:val="0"/>
              <w:spacing w:line="576" w:lineRule="exact"/>
              <w:jc w:val="center"/>
              <w:rPr>
                <w:rFonts w:hint="eastAsia" w:ascii="黑体" w:hAnsi="黑体" w:eastAsia="黑体" w:cs="黑体"/>
                <w:b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2"/>
                <w:szCs w:val="22"/>
                <w:vertAlign w:val="baseline"/>
                <w:lang w:eastAsia="zh-CN"/>
              </w:rPr>
              <w:t>任职资格条件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986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综合部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（含财务人员2名）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大学及以上学历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政治学、行政管理、社会学、人力资源管理、汉语言文学、新闻学、教育学、会计学、经济学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1.负责协助领导制定党建计划，组织活动及学习教育，实施党建工作，完成党建宣传和思想政治工作；</w:t>
            </w:r>
          </w:p>
          <w:p>
            <w:pPr>
              <w:snapToGrid w:val="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2.制定完善公司制度，完成会务及纪要编发、重大事项披露，配合领导完成综合性事务管理，做好文件收发、材料撰写等工作，积极推进企业文化建设与宣传；</w:t>
            </w:r>
          </w:p>
          <w:p>
            <w:pPr>
              <w:snapToGrid w:val="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3.负责财务核算、报表编制及凭证归档，审核支付与薪资社保，纳税申报，往来款清收，协助检查，参与合同审核监督；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4.完成领导交办的其他工作。</w:t>
            </w:r>
          </w:p>
        </w:tc>
        <w:tc>
          <w:tcPr>
            <w:tcW w:w="449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1.具有较强的逻辑思维能力、沟通协调能力、学习创新能力、分析判断能力、计划与执行能力、文字表达能力；</w:t>
            </w:r>
          </w:p>
          <w:p>
            <w:pPr>
              <w:snapToGrid w:val="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2.熟悉“三重一大”决策流程、公文处理规范，具备企业文化建设实操经验；</w:t>
            </w:r>
          </w:p>
          <w:p>
            <w:pPr>
              <w:snapToGrid w:val="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3.能熟练应用财务软件及办公软件，熟悉会计、审计、税务业务，了解企业经营相关法律、法规；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4.具有市、县、区国有企业相关工作经验者优先。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242" w:hRule="atLeast"/>
          <w:jc w:val="center"/>
        </w:trPr>
        <w:tc>
          <w:tcPr>
            <w:tcW w:w="68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合规审查部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大学及以上学历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法学、经济学、工商管理、工程管理</w:t>
            </w:r>
          </w:p>
        </w:tc>
        <w:tc>
          <w:tcPr>
            <w:tcW w:w="4245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1.负责合规审查，制定合规管理制度和流程，参与重大项目合规风险评估，编制合规审查报告；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2.监督各部门合规执行情况，协助开展合规风险防控工作；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3.负责招标代理项目前期资料收集整理，编制招标文件、组织开标，编制招标报告并归档；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4.完成领导交办的其他工作。</w:t>
            </w:r>
          </w:p>
        </w:tc>
        <w:tc>
          <w:tcPr>
            <w:tcW w:w="4496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1.熟悉法律法规和合规管理流程，具备合规审查相关工作经验；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2.具备良好的沟通能力和团队协作精神，较强的风险识别和评估能力；</w:t>
            </w:r>
          </w:p>
          <w:p>
            <w:pPr>
              <w:snapToGrid w:val="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3.熟悉招投标流程、操作规范及相关政策文件；</w:t>
            </w:r>
          </w:p>
          <w:p>
            <w:pPr>
              <w:snapToGrid w:val="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4.具有市、县、区国有企业相关工作经验者优先。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3242" w:hRule="atLeast"/>
          <w:jc w:val="center"/>
        </w:trPr>
        <w:tc>
          <w:tcPr>
            <w:tcW w:w="68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71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科创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部</w:t>
            </w:r>
          </w:p>
        </w:tc>
        <w:tc>
          <w:tcPr>
            <w:tcW w:w="78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30" w:type="dxa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大学及以上学历</w:t>
            </w:r>
          </w:p>
        </w:tc>
        <w:tc>
          <w:tcPr>
            <w:tcW w:w="1355" w:type="dxa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工程管理、建筑学、法学、经济学</w:t>
            </w:r>
          </w:p>
        </w:tc>
        <w:tc>
          <w:tcPr>
            <w:tcW w:w="4245" w:type="dxa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1.协助领导完成公司投融资战略、年度计划及中长期规划，负责项目的前期实施、运营管理、后期评估与绩效分析；</w:t>
            </w:r>
          </w:p>
          <w:p>
            <w:pPr>
              <w:snapToGrid w:val="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2.收集、整理相关行业及市场数据，完成项目筛选、尽职调查、立项准备、可行性报告编制，方案制定等工作；</w:t>
            </w:r>
          </w:p>
          <w:p>
            <w:pPr>
              <w:snapToGrid w:val="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3.维护投融资项目档案，包括合同协议、审批文件、财务报表等，确保档案完整合规；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4.完成领导交办的其他工作。</w:t>
            </w:r>
          </w:p>
        </w:tc>
        <w:tc>
          <w:tcPr>
            <w:tcW w:w="4496" w:type="dxa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1.具备投融资相关工作经历；</w:t>
            </w:r>
          </w:p>
          <w:p>
            <w:pPr>
              <w:snapToGrid w:val="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2.熟悉投融资运营管理流程和规范；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3.对公司相关业务领域具备一定的基础知识，能理解行业技术逻辑和市场特点；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4.具有市、县、区国有企业相关工作经验者优先。</w:t>
            </w:r>
          </w:p>
        </w:tc>
      </w:tr>
    </w:tbl>
    <w:p/>
    <w:sectPr>
      <w:headerReference r:id="rId3" w:type="default"/>
      <w:footerReference r:id="rId5" w:type="default"/>
      <w:headerReference r:id="rId4" w:type="even"/>
      <w:pgSz w:w="16838" w:h="11906" w:orient="landscape"/>
      <w:pgMar w:top="1587" w:right="2098" w:bottom="1474" w:left="1984" w:header="851" w:footer="141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zNTRhYTQyNDAyOGQxYjA4NTQxNjc3NGMwZDhkMGMifQ=="/>
  </w:docVars>
  <w:rsids>
    <w:rsidRoot w:val="207E7B93"/>
    <w:rsid w:val="05DF6C92"/>
    <w:rsid w:val="06E01841"/>
    <w:rsid w:val="0BE56651"/>
    <w:rsid w:val="10F06BC1"/>
    <w:rsid w:val="116F23E8"/>
    <w:rsid w:val="207E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2025-09-12T03:17:00Z</dcterms:created>
  <dc:creator>Administrator</dc:creator>
  <cp:lastModifiedBy>Administrator</cp:lastModifiedBy>
  <dcterms:modified xsi:type="dcterms:W3CDTF">2025-09-12T03:18:21Z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B08240AD651D43879DC84DB348C585C0_11</vt:lpwstr>
  </property>
</Properties>
</file>