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themeColor="text1"/>
          <w:kern w:val="1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10"/>
          <w:sz w:val="32"/>
          <w:szCs w:val="32"/>
          <w:lang w:val="en-US" w:eastAsia="zh-CN" w:bidi="ar-SA"/>
          <w14:textFill>
            <w14:solidFill>
              <w14:schemeClr w14:val="tx1"/>
            </w14:solidFill>
          </w14:textFill>
        </w:rPr>
        <w:t>附件1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庐山市数字文化产业投资有限公司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2025年面向社会公开招聘工作人员职位表</w:t>
      </w:r>
    </w:p>
    <w:tbl>
      <w:tblPr>
        <w:tblStyle w:val="3"/>
        <w:tblpPr w:leftFromText="180" w:rightFromText="180" w:vertAnchor="text" w:horzAnchor="page" w:tblpXSpec="center" w:tblpY="166"/>
        <w:tblOverlap w:val="never"/>
        <w:tblW w:w="1519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
        <w:gridCol w:w="1751"/>
        <w:gridCol w:w="709"/>
        <w:gridCol w:w="2456"/>
        <w:gridCol w:w="2809"/>
        <w:gridCol w:w="3912"/>
        <w:gridCol w:w="559"/>
        <w:gridCol w:w="573"/>
        <w:gridCol w:w="723"/>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序号</w:t>
            </w:r>
          </w:p>
        </w:tc>
        <w:tc>
          <w:tcPr>
            <w:tcW w:w="1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sz w:val="21"/>
                <w:szCs w:val="21"/>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招聘岗位</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计划招聘人数</w:t>
            </w:r>
          </w:p>
        </w:tc>
        <w:tc>
          <w:tcPr>
            <w:tcW w:w="91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资格条件</w:t>
            </w: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是否笔试</w:t>
            </w: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是否面试</w:t>
            </w:r>
          </w:p>
        </w:tc>
        <w:tc>
          <w:tcPr>
            <w:tcW w:w="72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薪资待遇</w:t>
            </w:r>
          </w:p>
        </w:tc>
        <w:tc>
          <w:tcPr>
            <w:tcW w:w="90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p>
        </w:tc>
        <w:tc>
          <w:tcPr>
            <w:tcW w:w="17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年龄及性别要求</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sz w:val="21"/>
                <w:szCs w:val="21"/>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sz w:val="21"/>
                <w:szCs w:val="21"/>
                <w:u w:val="none"/>
                <w:lang w:val="en-US" w:eastAsia="zh-CN"/>
                <w14:textFill>
                  <w14:solidFill>
                    <w14:schemeClr w14:val="tx1"/>
                  </w14:solidFill>
                </w14:textFill>
              </w:rPr>
              <w:t>应聘要求</w:t>
            </w:r>
          </w:p>
        </w:tc>
        <w:tc>
          <w:tcPr>
            <w:tcW w:w="3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仿宋_GB2312" w:hAnsi="仿宋_GB2312" w:eastAsia="仿宋_GB2312" w:cs="仿宋_GB2312"/>
                <w:b w:val="0"/>
                <w:bCs w:val="0"/>
                <w:i w:val="0"/>
                <w:iCs w:val="0"/>
                <w:color w:val="000000" w:themeColor="text1"/>
                <w:sz w:val="21"/>
                <w:szCs w:val="21"/>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岗位职责</w:t>
            </w: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c>
          <w:tcPr>
            <w:tcW w:w="72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c>
          <w:tcPr>
            <w:tcW w:w="90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40" w:lineRule="auto"/>
              <w:jc w:val="center"/>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i w:val="0"/>
                <w:iCs w:val="0"/>
                <w:caps w:val="0"/>
                <w:color w:val="auto"/>
                <w:spacing w:val="8"/>
                <w:sz w:val="24"/>
                <w:szCs w:val="24"/>
                <w:shd w:val="clear" w:fill="FFFFFF"/>
                <w:lang w:val="en-US" w:eastAsia="zh-CN"/>
              </w:rPr>
              <w:t>数字项目管理专员</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1.性别不限；</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w:t>
            </w: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40周岁以内（1985年1月1日以后出生）</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w:t>
            </w: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参与过数字化项目建设的管理人员年龄可放宽至45周岁（1980年1月1日以后出生）。</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1.具有大专及以上学历，计算机类、信息类、数字化类等相关专业；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2.具有2年以上相关工作经验。</w:t>
            </w:r>
          </w:p>
        </w:tc>
        <w:tc>
          <w:tcPr>
            <w:tcW w:w="3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1、负责数字媒体技术的研发和应用，‌包括软件开发、‌系统维护、‌网络安全等，确保公司所有技术项目基础设施的稳定运行；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2、‌负责公司的数字服务和产品开发；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3、负责公司办公系统的日常维护与管理，确保办公系统正常使用效率；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4完成上级领导交办的其他相关工作。</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是(综合面试)</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参照数产公司薪酬管理办法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技术部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center"/>
              <w:rPr>
                <w:rFonts w:hint="eastAsia" w:ascii="仿宋" w:hAnsi="仿宋" w:eastAsia="仿宋" w:cs="仿宋"/>
                <w:b w:val="0"/>
                <w:bCs w:val="0"/>
                <w:i w:val="0"/>
                <w:iCs w:val="0"/>
                <w:caps w:val="0"/>
                <w:color w:val="auto"/>
                <w:spacing w:val="8"/>
                <w:sz w:val="24"/>
                <w:szCs w:val="24"/>
                <w:shd w:val="clear" w:fill="FFFFFF"/>
                <w:lang w:val="en-US" w:eastAsia="zh-CN"/>
              </w:rPr>
            </w:pPr>
            <w:r>
              <w:rPr>
                <w:rFonts w:hint="eastAsia" w:ascii="仿宋" w:hAnsi="仿宋" w:eastAsia="仿宋" w:cs="仿宋"/>
                <w:b w:val="0"/>
                <w:bCs w:val="0"/>
                <w:i w:val="0"/>
                <w:iCs w:val="0"/>
                <w:caps w:val="0"/>
                <w:color w:val="auto"/>
                <w:spacing w:val="8"/>
                <w:sz w:val="24"/>
                <w:szCs w:val="24"/>
                <w:shd w:val="clear" w:fill="FFFFFF"/>
                <w:lang w:val="en-US" w:eastAsia="zh-CN"/>
              </w:rPr>
              <w:t>活动执行</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i w:val="0"/>
                <w:iCs w:val="0"/>
                <w:caps w:val="0"/>
                <w:color w:val="auto"/>
                <w:spacing w:val="8"/>
                <w:sz w:val="24"/>
                <w:szCs w:val="24"/>
                <w:shd w:val="clear" w:fill="FFFFFF"/>
                <w:lang w:val="en-US" w:eastAsia="zh-CN"/>
              </w:rPr>
              <w:t>专员</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1.性别不限；</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2.40周岁以内（1985年1月1日以后出生）。</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1.具有大专及以上学历，文化产业管理、会展经济与管理、数字媒体技术、商务英语、市场营销/广告学、视觉传达、广播电视编导类等相关专业；</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2.具有2年以上相关工作经验。</w:t>
            </w:r>
          </w:p>
        </w:tc>
        <w:tc>
          <w:tcPr>
            <w:tcW w:w="391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1、负责策划与执行，</w:t>
            </w:r>
            <w:r>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t>完成活动方案策划，包括创意设计、流程制定、资源调配（如供应商、场地、设备）</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2、负责</w:t>
            </w:r>
            <w:r>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t>项目管理</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t>统筹多部门协作（如设计、技术、后勤），追踪项目进度，处理立项、报价、招投标、合同签订等商务环节</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3、负责项目相关文档的编制、整理、归档和更新，确保项目信息的准确性和可追溯性；</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4、完成上级领导交办的其他相关工作。</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是(综合面试)</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参照数产公司薪酬管理办法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市场部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3</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center"/>
              <w:rPr>
                <w:rFonts w:hint="eastAsia" w:ascii="仿宋" w:hAnsi="仿宋" w:eastAsia="仿宋" w:cs="仿宋"/>
                <w:b w:val="0"/>
                <w:bCs w:val="0"/>
                <w:i w:val="0"/>
                <w:iCs w:val="0"/>
                <w:caps w:val="0"/>
                <w:color w:val="auto"/>
                <w:spacing w:val="8"/>
                <w:sz w:val="24"/>
                <w:szCs w:val="24"/>
                <w:shd w:val="clear" w:fill="FFFFFF"/>
                <w:lang w:val="en-US" w:eastAsia="zh-CN"/>
              </w:rPr>
            </w:pPr>
            <w:r>
              <w:rPr>
                <w:rFonts w:hint="eastAsia" w:ascii="仿宋" w:hAnsi="仿宋" w:eastAsia="仿宋" w:cs="仿宋"/>
                <w:b w:val="0"/>
                <w:bCs w:val="0"/>
                <w:i w:val="0"/>
                <w:iCs w:val="0"/>
                <w:caps w:val="0"/>
                <w:color w:val="auto"/>
                <w:spacing w:val="8"/>
                <w:sz w:val="24"/>
                <w:szCs w:val="24"/>
                <w:shd w:val="clear" w:fill="FFFFFF"/>
                <w:lang w:val="en-US" w:eastAsia="zh-CN"/>
              </w:rPr>
              <w:t>影视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i w:val="0"/>
                <w:iCs w:val="0"/>
                <w:caps w:val="0"/>
                <w:color w:val="auto"/>
                <w:spacing w:val="8"/>
                <w:sz w:val="24"/>
                <w:szCs w:val="24"/>
                <w:shd w:val="clear" w:fill="FFFFFF"/>
                <w:lang w:val="en-US" w:eastAsia="zh-CN"/>
              </w:rPr>
              <w:t>视频师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10" w:firstLineChars="100"/>
              <w:jc w:val="both"/>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1</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1.性别不限；</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2.40周岁以内（1985年1月1日以后出生）。</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1、具有大专及以上学历；影视制作、数字媒体技术、数字媒体艺术、视觉传达、新闻传播学、计算机科学与技术类</w:t>
            </w:r>
            <w:bookmarkStart w:id="0" w:name="_GoBack"/>
            <w:bookmarkEnd w:id="0"/>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等相关专业；</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2、持有新闻记者证或参加新闻记者职业资格考试并取得合格成绩人员报考不受专业限制。</w:t>
            </w:r>
          </w:p>
        </w:tc>
        <w:tc>
          <w:tcPr>
            <w:tcW w:w="391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1.视频拍摄：能够根据公司的需求和创意方案，拍摄具有视觉特效和情感表达力的优质视频素材；</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2.视频剪辑：根据短视频编导的要求或按要求完成剪辑任务；</w:t>
            </w:r>
          </w:p>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3.根据公司规划，按要求完成拍摄剪辑任务。</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是(综合面试)</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参照数产公司薪酬管理办法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hd w:val="clear" w:color="auto" w:fill="FFFFFF"/>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技术部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10B0C"/>
    <w:rsid w:val="25233D94"/>
    <w:rsid w:val="3EF10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2025-09-08T05:51:00Z</dcterms:created>
  <dc:creator>Administrator</dc:creator>
  <cp:lastModifiedBy>Administrator</cp:lastModifiedBy>
  <dcterms:modified xsi:type="dcterms:W3CDTF">2025-09-09T08:14:52Z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