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845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附件1</w:t>
      </w:r>
    </w:p>
    <w:p w14:paraId="36DAB2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kern w:val="0"/>
          <w:sz w:val="32"/>
          <w:szCs w:val="32"/>
          <w:highlight w:val="none"/>
          <w:lang w:val="en-US" w:eastAsia="zh-CN"/>
        </w:rPr>
      </w:pPr>
    </w:p>
    <w:p w14:paraId="4B6B068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黑体" w:eastAsia="微软雅黑"/>
          <w:kern w:val="0"/>
          <w:sz w:val="44"/>
          <w:szCs w:val="44"/>
        </w:rPr>
      </w:pPr>
      <w:bookmarkStart w:id="0" w:name="_GoBack"/>
      <w:r>
        <w:rPr>
          <w:rFonts w:hint="eastAsia" w:ascii="方正小标宋简体" w:hAnsi="方正小标宋简体" w:eastAsia="方正小标宋简体" w:cs="方正小标宋简体"/>
          <w:kern w:val="0"/>
          <w:sz w:val="44"/>
          <w:szCs w:val="44"/>
          <w:highlight w:val="none"/>
        </w:rPr>
        <w:t>绵阳光子科创产业发展有限责任公司公开</w:t>
      </w:r>
      <w:r>
        <w:rPr>
          <w:rFonts w:hint="eastAsia" w:ascii="方正小标宋简体" w:hAnsi="方正小标宋简体" w:eastAsia="方正小标宋简体" w:cs="方正小标宋简体"/>
          <w:kern w:val="0"/>
          <w:sz w:val="44"/>
          <w:szCs w:val="44"/>
          <w:highlight w:val="none"/>
          <w:lang w:val="en-US" w:eastAsia="zh-CN"/>
        </w:rPr>
        <w:t>招</w:t>
      </w:r>
      <w:r>
        <w:rPr>
          <w:rFonts w:hint="eastAsia" w:ascii="方正小标宋简体" w:hAnsi="方正小标宋简体" w:eastAsia="方正小标宋简体" w:cs="方正小标宋简体"/>
          <w:kern w:val="0"/>
          <w:sz w:val="44"/>
          <w:szCs w:val="44"/>
          <w:highlight w:val="none"/>
        </w:rPr>
        <w:t>聘</w:t>
      </w:r>
      <w:r>
        <w:rPr>
          <w:rFonts w:hint="eastAsia" w:ascii="方正小标宋简体" w:hAnsi="方正小标宋简体" w:eastAsia="方正小标宋简体" w:cs="方正小标宋简体"/>
          <w:kern w:val="0"/>
          <w:sz w:val="44"/>
          <w:szCs w:val="44"/>
          <w:highlight w:val="none"/>
          <w:lang w:eastAsia="zh-CN"/>
        </w:rPr>
        <w:t>员工</w:t>
      </w:r>
      <w:r>
        <w:rPr>
          <w:rFonts w:hint="eastAsia" w:ascii="方正小标宋简体" w:hAnsi="方正小标宋简体" w:eastAsia="方正小标宋简体" w:cs="方正小标宋简体"/>
          <w:kern w:val="0"/>
          <w:sz w:val="44"/>
          <w:szCs w:val="44"/>
          <w:highlight w:val="none"/>
        </w:rPr>
        <w:t>职位需求表</w:t>
      </w:r>
    </w:p>
    <w:bookmarkEnd w:id="0"/>
    <w:p w14:paraId="230448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微软雅黑" w:hAnsi="黑体" w:eastAsia="微软雅黑"/>
          <w:kern w:val="0"/>
          <w:sz w:val="44"/>
          <w:szCs w:val="44"/>
          <w:lang w:val="en-US" w:eastAsia="zh-CN"/>
        </w:rPr>
      </w:pPr>
    </w:p>
    <w:tbl>
      <w:tblPr>
        <w:tblStyle w:val="5"/>
        <w:tblW w:w="15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688"/>
        <w:gridCol w:w="579"/>
        <w:gridCol w:w="666"/>
        <w:gridCol w:w="645"/>
        <w:gridCol w:w="1039"/>
        <w:gridCol w:w="1215"/>
        <w:gridCol w:w="5978"/>
        <w:gridCol w:w="4377"/>
      </w:tblGrid>
      <w:tr w14:paraId="2D33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88" w:type="dxa"/>
            <w:noWrap w:val="0"/>
            <w:vAlign w:val="center"/>
          </w:tcPr>
          <w:p w14:paraId="66085897">
            <w:pPr>
              <w:keepNext w:val="0"/>
              <w:keepLines w:val="0"/>
              <w:pageBreakBefore w:val="0"/>
              <w:wordWrap/>
              <w:overflowPunct/>
              <w:topLinePunct w:val="0"/>
              <w:autoSpaceDE/>
              <w:bidi w:val="0"/>
              <w:adjustRightInd/>
              <w:snapToGrid w:val="0"/>
              <w:spacing w:line="576" w:lineRule="exact"/>
              <w:jc w:val="center"/>
              <w:rPr>
                <w:rFonts w:hint="default"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序号</w:t>
            </w:r>
          </w:p>
        </w:tc>
        <w:tc>
          <w:tcPr>
            <w:tcW w:w="579" w:type="dxa"/>
            <w:noWrap w:val="0"/>
            <w:vAlign w:val="center"/>
          </w:tcPr>
          <w:p w14:paraId="0BCB65DF">
            <w:pPr>
              <w:keepNext w:val="0"/>
              <w:keepLines w:val="0"/>
              <w:pageBreakBefore w:val="0"/>
              <w:wordWrap/>
              <w:overflowPunct/>
              <w:topLinePunct w:val="0"/>
              <w:autoSpaceDE/>
              <w:bidi w:val="0"/>
              <w:adjustRightInd/>
              <w:snapToGrid w:val="0"/>
              <w:spacing w:line="576" w:lineRule="exact"/>
              <w:jc w:val="center"/>
              <w:rPr>
                <w:rFonts w:hint="default"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部门名称</w:t>
            </w:r>
          </w:p>
        </w:tc>
        <w:tc>
          <w:tcPr>
            <w:tcW w:w="666" w:type="dxa"/>
            <w:noWrap w:val="0"/>
            <w:vAlign w:val="center"/>
          </w:tcPr>
          <w:p w14:paraId="1FB1CC35">
            <w:pPr>
              <w:keepNext w:val="0"/>
              <w:keepLines w:val="0"/>
              <w:pageBreakBefore w:val="0"/>
              <w:wordWrap/>
              <w:overflowPunct/>
              <w:topLinePunct w:val="0"/>
              <w:autoSpaceDE/>
              <w:bidi w:val="0"/>
              <w:adjustRightInd/>
              <w:snapToGrid w:val="0"/>
              <w:spacing w:line="576" w:lineRule="exact"/>
              <w:jc w:val="center"/>
              <w:rPr>
                <w:rFonts w:hint="default"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岗位名称</w:t>
            </w:r>
          </w:p>
        </w:tc>
        <w:tc>
          <w:tcPr>
            <w:tcW w:w="645" w:type="dxa"/>
            <w:noWrap w:val="0"/>
            <w:vAlign w:val="center"/>
          </w:tcPr>
          <w:p w14:paraId="79FF6ECE">
            <w:pPr>
              <w:keepNext w:val="0"/>
              <w:keepLines w:val="0"/>
              <w:pageBreakBefore w:val="0"/>
              <w:wordWrap/>
              <w:overflowPunct/>
              <w:topLinePunct w:val="0"/>
              <w:autoSpaceDE/>
              <w:bidi w:val="0"/>
              <w:adjustRightInd/>
              <w:snapToGrid w:val="0"/>
              <w:spacing w:line="576" w:lineRule="exact"/>
              <w:jc w:val="center"/>
              <w:rPr>
                <w:rFonts w:hint="eastAsia"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岗位需求</w:t>
            </w:r>
          </w:p>
        </w:tc>
        <w:tc>
          <w:tcPr>
            <w:tcW w:w="1039" w:type="dxa"/>
            <w:noWrap w:val="0"/>
            <w:vAlign w:val="center"/>
          </w:tcPr>
          <w:p w14:paraId="6CED5B9D">
            <w:pPr>
              <w:keepNext w:val="0"/>
              <w:keepLines w:val="0"/>
              <w:pageBreakBefore w:val="0"/>
              <w:wordWrap/>
              <w:overflowPunct/>
              <w:topLinePunct w:val="0"/>
              <w:autoSpaceDE/>
              <w:bidi w:val="0"/>
              <w:adjustRightInd/>
              <w:snapToGrid w:val="0"/>
              <w:spacing w:line="576" w:lineRule="exact"/>
              <w:jc w:val="center"/>
              <w:rPr>
                <w:rFonts w:hint="eastAsia"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学历</w:t>
            </w:r>
          </w:p>
        </w:tc>
        <w:tc>
          <w:tcPr>
            <w:tcW w:w="1215" w:type="dxa"/>
            <w:noWrap w:val="0"/>
            <w:vAlign w:val="center"/>
          </w:tcPr>
          <w:p w14:paraId="0470D7BB">
            <w:pPr>
              <w:keepNext w:val="0"/>
              <w:keepLines w:val="0"/>
              <w:pageBreakBefore w:val="0"/>
              <w:wordWrap/>
              <w:overflowPunct/>
              <w:topLinePunct w:val="0"/>
              <w:autoSpaceDE/>
              <w:bidi w:val="0"/>
              <w:adjustRightInd/>
              <w:snapToGrid w:val="0"/>
              <w:spacing w:line="576" w:lineRule="exact"/>
              <w:jc w:val="center"/>
              <w:rPr>
                <w:rFonts w:hint="eastAsia"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专业</w:t>
            </w:r>
          </w:p>
        </w:tc>
        <w:tc>
          <w:tcPr>
            <w:tcW w:w="5978" w:type="dxa"/>
            <w:noWrap w:val="0"/>
            <w:vAlign w:val="center"/>
          </w:tcPr>
          <w:p w14:paraId="0BC61F50">
            <w:pPr>
              <w:keepNext w:val="0"/>
              <w:keepLines w:val="0"/>
              <w:pageBreakBefore w:val="0"/>
              <w:wordWrap/>
              <w:overflowPunct/>
              <w:topLinePunct w:val="0"/>
              <w:autoSpaceDE/>
              <w:bidi w:val="0"/>
              <w:adjustRightInd/>
              <w:snapToGrid w:val="0"/>
              <w:spacing w:line="576" w:lineRule="exact"/>
              <w:jc w:val="center"/>
              <w:rPr>
                <w:rFonts w:hint="default" w:ascii="黑体" w:hAnsi="黑体" w:eastAsia="黑体" w:cs="黑体"/>
                <w:b/>
                <w:kern w:val="0"/>
                <w:sz w:val="22"/>
                <w:szCs w:val="22"/>
                <w:vertAlign w:val="baseline"/>
                <w:lang w:val="en-US" w:eastAsia="zh-CN"/>
              </w:rPr>
            </w:pPr>
            <w:r>
              <w:rPr>
                <w:rFonts w:hint="eastAsia" w:ascii="黑体" w:hAnsi="黑体" w:eastAsia="黑体" w:cs="黑体"/>
                <w:b/>
                <w:kern w:val="0"/>
                <w:sz w:val="22"/>
                <w:szCs w:val="22"/>
                <w:vertAlign w:val="baseline"/>
                <w:lang w:val="en-US" w:eastAsia="zh-CN"/>
              </w:rPr>
              <w:t>岗位职责</w:t>
            </w:r>
          </w:p>
        </w:tc>
        <w:tc>
          <w:tcPr>
            <w:tcW w:w="4377" w:type="dxa"/>
            <w:noWrap w:val="0"/>
            <w:vAlign w:val="center"/>
          </w:tcPr>
          <w:p w14:paraId="45E88AD0">
            <w:pPr>
              <w:keepNext w:val="0"/>
              <w:keepLines w:val="0"/>
              <w:pageBreakBefore w:val="0"/>
              <w:wordWrap/>
              <w:overflowPunct/>
              <w:topLinePunct w:val="0"/>
              <w:autoSpaceDE/>
              <w:bidi w:val="0"/>
              <w:adjustRightInd/>
              <w:snapToGrid w:val="0"/>
              <w:spacing w:line="576" w:lineRule="exact"/>
              <w:jc w:val="center"/>
              <w:rPr>
                <w:rFonts w:hint="eastAsia" w:ascii="黑体" w:hAnsi="黑体" w:eastAsia="黑体" w:cs="黑体"/>
                <w:b/>
                <w:kern w:val="0"/>
                <w:sz w:val="22"/>
                <w:szCs w:val="22"/>
                <w:vertAlign w:val="baseline"/>
              </w:rPr>
            </w:pPr>
            <w:r>
              <w:rPr>
                <w:rFonts w:hint="eastAsia" w:ascii="黑体" w:hAnsi="黑体" w:eastAsia="黑体" w:cs="黑体"/>
                <w:b/>
                <w:kern w:val="0"/>
                <w:sz w:val="22"/>
                <w:szCs w:val="22"/>
                <w:vertAlign w:val="baseline"/>
                <w:lang w:eastAsia="zh-CN"/>
              </w:rPr>
              <w:t>任职资格条件</w:t>
            </w:r>
          </w:p>
        </w:tc>
      </w:tr>
      <w:tr w14:paraId="40B6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485" w:hRule="atLeast"/>
          <w:jc w:val="center"/>
        </w:trPr>
        <w:tc>
          <w:tcPr>
            <w:tcW w:w="688" w:type="dxa"/>
            <w:shd w:val="clear" w:color="auto" w:fill="auto"/>
            <w:noWrap w:val="0"/>
            <w:vAlign w:val="center"/>
          </w:tcPr>
          <w:p w14:paraId="0F40A81B">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A-1</w:t>
            </w:r>
          </w:p>
        </w:tc>
        <w:tc>
          <w:tcPr>
            <w:tcW w:w="579" w:type="dxa"/>
            <w:shd w:val="clear" w:color="auto" w:fill="auto"/>
            <w:noWrap w:val="0"/>
            <w:vAlign w:val="center"/>
          </w:tcPr>
          <w:p w14:paraId="4BB68BB2">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激光事业部</w:t>
            </w:r>
          </w:p>
        </w:tc>
        <w:tc>
          <w:tcPr>
            <w:tcW w:w="666" w:type="dxa"/>
            <w:shd w:val="clear" w:color="auto" w:fill="auto"/>
            <w:noWrap w:val="0"/>
            <w:vAlign w:val="center"/>
          </w:tcPr>
          <w:p w14:paraId="53D70B8E">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中层管理岗</w:t>
            </w:r>
          </w:p>
        </w:tc>
        <w:tc>
          <w:tcPr>
            <w:tcW w:w="645" w:type="dxa"/>
            <w:shd w:val="clear" w:color="auto" w:fill="auto"/>
            <w:noWrap w:val="0"/>
            <w:vAlign w:val="center"/>
          </w:tcPr>
          <w:p w14:paraId="652BA506">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0D22AE22">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研究生及以上学历，满足招聘条件（1）可放宽至全日制本科</w:t>
            </w:r>
          </w:p>
        </w:tc>
        <w:tc>
          <w:tcPr>
            <w:tcW w:w="1215" w:type="dxa"/>
            <w:shd w:val="clear" w:color="auto" w:fill="auto"/>
            <w:noWrap w:val="0"/>
            <w:vAlign w:val="center"/>
          </w:tcPr>
          <w:p w14:paraId="14421029">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3CE400C9">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r>
              <w:rPr>
                <w:rFonts w:hint="default" w:ascii="仿宋_GB2312" w:hAnsi="仿宋_GB2312" w:eastAsia="仿宋_GB2312" w:cs="仿宋_GB2312"/>
                <w:kern w:val="0"/>
                <w:sz w:val="24"/>
                <w:szCs w:val="24"/>
                <w:vertAlign w:val="baseline"/>
                <w:lang w:val="en-US" w:eastAsia="zh-CN"/>
              </w:rPr>
              <w:t>牵头编制激光产业招商图谱，结合区域产业链规划制定年度招商计划，明确重点领域目标企业</w:t>
            </w:r>
            <w:r>
              <w:rPr>
                <w:rFonts w:hint="eastAsia" w:ascii="仿宋_GB2312" w:hAnsi="仿宋_GB2312" w:eastAsia="仿宋_GB2312" w:cs="仿宋_GB2312"/>
                <w:kern w:val="0"/>
                <w:sz w:val="24"/>
                <w:szCs w:val="24"/>
                <w:vertAlign w:val="baseline"/>
                <w:lang w:val="en-US" w:eastAsia="zh-CN"/>
              </w:rPr>
              <w:t>；</w:t>
            </w:r>
          </w:p>
          <w:p w14:paraId="3EDE1A1E">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w:t>
            </w:r>
            <w:r>
              <w:rPr>
                <w:rFonts w:hint="default" w:ascii="仿宋_GB2312" w:hAnsi="仿宋_GB2312" w:eastAsia="仿宋_GB2312" w:cs="仿宋_GB2312"/>
                <w:kern w:val="0"/>
                <w:sz w:val="24"/>
                <w:szCs w:val="24"/>
                <w:vertAlign w:val="baseline"/>
                <w:lang w:val="en-US" w:eastAsia="zh-CN"/>
              </w:rPr>
              <w:t>对接发改、工信</w:t>
            </w:r>
            <w:r>
              <w:rPr>
                <w:rFonts w:hint="eastAsia" w:ascii="仿宋_GB2312" w:hAnsi="仿宋_GB2312" w:eastAsia="仿宋_GB2312" w:cs="仿宋_GB2312"/>
                <w:kern w:val="0"/>
                <w:sz w:val="24"/>
                <w:szCs w:val="24"/>
                <w:vertAlign w:val="baseline"/>
                <w:lang w:val="en-US" w:eastAsia="zh-CN"/>
              </w:rPr>
              <w:t>等</w:t>
            </w:r>
            <w:r>
              <w:rPr>
                <w:rFonts w:hint="default" w:ascii="仿宋_GB2312" w:hAnsi="仿宋_GB2312" w:eastAsia="仿宋_GB2312" w:cs="仿宋_GB2312"/>
                <w:kern w:val="0"/>
                <w:sz w:val="24"/>
                <w:szCs w:val="24"/>
                <w:vertAlign w:val="baseline"/>
                <w:lang w:val="en-US" w:eastAsia="zh-CN"/>
              </w:rPr>
              <w:t>部门，争取产业扶持政策，强化对龙头企业的吸引力</w:t>
            </w:r>
            <w:r>
              <w:rPr>
                <w:rFonts w:hint="eastAsia" w:ascii="仿宋_GB2312" w:hAnsi="仿宋_GB2312" w:eastAsia="仿宋_GB2312" w:cs="仿宋_GB2312"/>
                <w:kern w:val="0"/>
                <w:sz w:val="24"/>
                <w:szCs w:val="24"/>
                <w:vertAlign w:val="baseline"/>
                <w:lang w:val="en-US" w:eastAsia="zh-CN"/>
              </w:rPr>
              <w:t>；</w:t>
            </w:r>
          </w:p>
          <w:p w14:paraId="7AC7C5D6">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3.牵头共建“产业+高校研究院”平台，推动激光领域科研成果向现实生产力高效转化；</w:t>
            </w:r>
          </w:p>
          <w:p w14:paraId="244D130E">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4.建立健全项目风险评估机制，</w:t>
            </w:r>
            <w:r>
              <w:rPr>
                <w:rFonts w:hint="default" w:ascii="仿宋_GB2312" w:hAnsi="仿宋_GB2312" w:eastAsia="仿宋_GB2312" w:cs="仿宋_GB2312"/>
                <w:kern w:val="0"/>
                <w:sz w:val="24"/>
                <w:szCs w:val="24"/>
                <w:vertAlign w:val="baseline"/>
                <w:lang w:val="en-US" w:eastAsia="zh-CN"/>
              </w:rPr>
              <w:t>主导项目尽调、谈判及落地协调</w:t>
            </w:r>
            <w:r>
              <w:rPr>
                <w:rFonts w:hint="eastAsia" w:ascii="仿宋_GB2312" w:hAnsi="仿宋_GB2312" w:eastAsia="仿宋_GB2312" w:cs="仿宋_GB2312"/>
                <w:kern w:val="0"/>
                <w:sz w:val="24"/>
                <w:szCs w:val="24"/>
                <w:vertAlign w:val="baseline"/>
                <w:lang w:val="en-US" w:eastAsia="zh-CN"/>
              </w:rPr>
              <w:t>；</w:t>
            </w:r>
          </w:p>
          <w:p w14:paraId="7BA0ABFB">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5.完成领导交办的其他工作。</w:t>
            </w:r>
          </w:p>
        </w:tc>
        <w:tc>
          <w:tcPr>
            <w:tcW w:w="4377" w:type="dxa"/>
            <w:shd w:val="clear" w:color="auto" w:fill="auto"/>
            <w:noWrap w:val="0"/>
            <w:vAlign w:val="center"/>
          </w:tcPr>
          <w:p w14:paraId="08D451F3">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31ABF604">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2.具备良好的团队管理和技术指导能力，能独立完成技术方案编制和评审；</w:t>
            </w:r>
          </w:p>
          <w:p w14:paraId="0448D2CA">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3.具有激光、微波、粒子束、电子信息、数字技术、芯片产业、软件开发等领域相关工作经历，担任中层及以上职务2年及以上。</w:t>
            </w:r>
          </w:p>
        </w:tc>
      </w:tr>
      <w:tr w14:paraId="4F9E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90" w:hRule="atLeast"/>
          <w:jc w:val="center"/>
        </w:trPr>
        <w:tc>
          <w:tcPr>
            <w:tcW w:w="688" w:type="dxa"/>
            <w:shd w:val="clear" w:color="auto" w:fill="auto"/>
            <w:noWrap w:val="0"/>
            <w:vAlign w:val="center"/>
          </w:tcPr>
          <w:p w14:paraId="725AEDEF">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A-2</w:t>
            </w:r>
          </w:p>
        </w:tc>
        <w:tc>
          <w:tcPr>
            <w:tcW w:w="579" w:type="dxa"/>
            <w:shd w:val="clear" w:color="auto" w:fill="auto"/>
            <w:noWrap w:val="0"/>
            <w:vAlign w:val="center"/>
          </w:tcPr>
          <w:p w14:paraId="4C9BBE49">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激光事业部</w:t>
            </w:r>
          </w:p>
        </w:tc>
        <w:tc>
          <w:tcPr>
            <w:tcW w:w="666" w:type="dxa"/>
            <w:shd w:val="clear" w:color="auto" w:fill="auto"/>
            <w:noWrap w:val="0"/>
            <w:vAlign w:val="center"/>
          </w:tcPr>
          <w:p w14:paraId="55762ABB">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普通职员岗</w:t>
            </w:r>
          </w:p>
        </w:tc>
        <w:tc>
          <w:tcPr>
            <w:tcW w:w="645" w:type="dxa"/>
            <w:shd w:val="clear" w:color="auto" w:fill="auto"/>
            <w:noWrap w:val="0"/>
            <w:vAlign w:val="center"/>
          </w:tcPr>
          <w:p w14:paraId="4EBAB193">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w:t>
            </w:r>
          </w:p>
        </w:tc>
        <w:tc>
          <w:tcPr>
            <w:tcW w:w="1039" w:type="dxa"/>
            <w:shd w:val="clear" w:color="auto" w:fill="auto"/>
            <w:noWrap w:val="0"/>
            <w:vAlign w:val="center"/>
          </w:tcPr>
          <w:p w14:paraId="3720141B">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全日制本科及以上学历</w:t>
            </w:r>
          </w:p>
        </w:tc>
        <w:tc>
          <w:tcPr>
            <w:tcW w:w="1215" w:type="dxa"/>
            <w:shd w:val="clear" w:color="auto" w:fill="auto"/>
            <w:noWrap w:val="0"/>
            <w:vAlign w:val="center"/>
          </w:tcPr>
          <w:p w14:paraId="232FF357">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1B497897">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1.协助领导完成招商图谱绘制、计划编制，建立项目风险评估机制；</w:t>
            </w:r>
          </w:p>
          <w:p w14:paraId="0AF8FD7C">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2.负责招商材料编制、建立动态招商台账、对接潜在客户，协助组织招商洽谈会，提供政策解读，记录企业诉求，联动政府解决招引堵点，协助推动企业注册、落地；</w:t>
            </w:r>
          </w:p>
          <w:p w14:paraId="62F0370C">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3.建立企业回访机制，收集技术改造、市场拓展需求，协调区内配套资源，促成二次投资或上下游产业链推进；</w:t>
            </w:r>
          </w:p>
          <w:p w14:paraId="3AC6273A">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3D050CE8">
            <w:pPr>
              <w:snapToGrid w:val="0"/>
              <w:jc w:val="left"/>
              <w:rPr>
                <w:rFonts w:ascii="仿宋_GB2312" w:eastAsia="仿宋_GB2312"/>
                <w:sz w:val="24"/>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51524290">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2.掌握项目技术管理流程和规范、项目技术文档管理，具备相关行业技术经验；</w:t>
            </w:r>
          </w:p>
          <w:p w14:paraId="5909B6AA">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3.具有激光、微波、粒子束、电子信息、数字技术、芯片产业、软件开发等领域2年及以上相关工作经历。</w:t>
            </w:r>
          </w:p>
        </w:tc>
      </w:tr>
      <w:tr w14:paraId="0A9E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391" w:hRule="atLeast"/>
          <w:jc w:val="center"/>
        </w:trPr>
        <w:tc>
          <w:tcPr>
            <w:tcW w:w="688" w:type="dxa"/>
            <w:shd w:val="clear" w:color="auto" w:fill="auto"/>
            <w:noWrap w:val="0"/>
            <w:vAlign w:val="center"/>
          </w:tcPr>
          <w:p w14:paraId="0FAB0926">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B-1</w:t>
            </w:r>
          </w:p>
        </w:tc>
        <w:tc>
          <w:tcPr>
            <w:tcW w:w="579" w:type="dxa"/>
            <w:shd w:val="clear" w:color="auto" w:fill="auto"/>
            <w:noWrap w:val="0"/>
            <w:vAlign w:val="center"/>
          </w:tcPr>
          <w:p w14:paraId="2C6804DF">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微波事业</w:t>
            </w:r>
            <w:r>
              <w:rPr>
                <w:rFonts w:hint="default" w:ascii="仿宋_GB2312" w:hAnsi="仿宋_GB2312" w:eastAsia="仿宋_GB2312" w:cs="仿宋_GB2312"/>
                <w:kern w:val="0"/>
                <w:sz w:val="24"/>
                <w:szCs w:val="24"/>
                <w:vertAlign w:val="baseline"/>
                <w:lang w:val="en-US" w:eastAsia="zh-CN"/>
              </w:rPr>
              <w:t>部</w:t>
            </w:r>
          </w:p>
        </w:tc>
        <w:tc>
          <w:tcPr>
            <w:tcW w:w="666" w:type="dxa"/>
            <w:shd w:val="clear" w:color="auto" w:fill="auto"/>
            <w:noWrap w:val="0"/>
            <w:vAlign w:val="center"/>
          </w:tcPr>
          <w:p w14:paraId="7E1B5B14">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中层管理岗</w:t>
            </w:r>
          </w:p>
        </w:tc>
        <w:tc>
          <w:tcPr>
            <w:tcW w:w="645" w:type="dxa"/>
            <w:shd w:val="clear" w:color="auto" w:fill="auto"/>
            <w:noWrap w:val="0"/>
            <w:vAlign w:val="center"/>
          </w:tcPr>
          <w:p w14:paraId="392D67AD">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2BCAA7BD">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研究生及以上学历，满足招聘条件（1）可放宽至全日制本科</w:t>
            </w:r>
          </w:p>
        </w:tc>
        <w:tc>
          <w:tcPr>
            <w:tcW w:w="1215" w:type="dxa"/>
            <w:shd w:val="clear" w:color="auto" w:fill="auto"/>
            <w:noWrap w:val="0"/>
            <w:vAlign w:val="center"/>
          </w:tcPr>
          <w:p w14:paraId="1B107006">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18F46993">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r>
              <w:rPr>
                <w:rFonts w:hint="default" w:ascii="仿宋_GB2312" w:hAnsi="仿宋_GB2312" w:eastAsia="仿宋_GB2312" w:cs="仿宋_GB2312"/>
                <w:kern w:val="0"/>
                <w:sz w:val="24"/>
                <w:szCs w:val="24"/>
                <w:vertAlign w:val="baseline"/>
                <w:lang w:val="en-US" w:eastAsia="zh-CN"/>
              </w:rPr>
              <w:t>牵头编制</w:t>
            </w:r>
            <w:r>
              <w:rPr>
                <w:rFonts w:hint="eastAsia" w:ascii="仿宋_GB2312" w:hAnsi="仿宋_GB2312" w:eastAsia="仿宋_GB2312" w:cs="仿宋_GB2312"/>
                <w:kern w:val="0"/>
                <w:sz w:val="24"/>
                <w:szCs w:val="24"/>
                <w:vertAlign w:val="baseline"/>
                <w:lang w:val="en-US" w:eastAsia="zh-CN"/>
              </w:rPr>
              <w:t>微波</w:t>
            </w:r>
            <w:r>
              <w:rPr>
                <w:rFonts w:hint="default" w:ascii="仿宋_GB2312" w:hAnsi="仿宋_GB2312" w:eastAsia="仿宋_GB2312" w:cs="仿宋_GB2312"/>
                <w:kern w:val="0"/>
                <w:sz w:val="24"/>
                <w:szCs w:val="24"/>
                <w:vertAlign w:val="baseline"/>
                <w:lang w:val="en-US" w:eastAsia="zh-CN"/>
              </w:rPr>
              <w:t>产业招商图谱，结合区域产业链规划制定年度招商计划，明确重点领域目标企业</w:t>
            </w:r>
            <w:r>
              <w:rPr>
                <w:rFonts w:hint="eastAsia" w:ascii="仿宋_GB2312" w:hAnsi="仿宋_GB2312" w:eastAsia="仿宋_GB2312" w:cs="仿宋_GB2312"/>
                <w:kern w:val="0"/>
                <w:sz w:val="24"/>
                <w:szCs w:val="24"/>
                <w:vertAlign w:val="baseline"/>
                <w:lang w:val="en-US" w:eastAsia="zh-CN"/>
              </w:rPr>
              <w:t>；</w:t>
            </w:r>
          </w:p>
          <w:p w14:paraId="6F858B2E">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w:t>
            </w:r>
            <w:r>
              <w:rPr>
                <w:rFonts w:hint="default" w:ascii="仿宋_GB2312" w:hAnsi="仿宋_GB2312" w:eastAsia="仿宋_GB2312" w:cs="仿宋_GB2312"/>
                <w:kern w:val="0"/>
                <w:sz w:val="24"/>
                <w:szCs w:val="24"/>
                <w:vertAlign w:val="baseline"/>
                <w:lang w:val="en-US" w:eastAsia="zh-CN"/>
              </w:rPr>
              <w:t>对接发改、工信</w:t>
            </w:r>
            <w:r>
              <w:rPr>
                <w:rFonts w:hint="eastAsia" w:ascii="仿宋_GB2312" w:hAnsi="仿宋_GB2312" w:eastAsia="仿宋_GB2312" w:cs="仿宋_GB2312"/>
                <w:kern w:val="0"/>
                <w:sz w:val="24"/>
                <w:szCs w:val="24"/>
                <w:vertAlign w:val="baseline"/>
                <w:lang w:val="en-US" w:eastAsia="zh-CN"/>
              </w:rPr>
              <w:t>等</w:t>
            </w:r>
            <w:r>
              <w:rPr>
                <w:rFonts w:hint="default" w:ascii="仿宋_GB2312" w:hAnsi="仿宋_GB2312" w:eastAsia="仿宋_GB2312" w:cs="仿宋_GB2312"/>
                <w:kern w:val="0"/>
                <w:sz w:val="24"/>
                <w:szCs w:val="24"/>
                <w:vertAlign w:val="baseline"/>
                <w:lang w:val="en-US" w:eastAsia="zh-CN"/>
              </w:rPr>
              <w:t>部门，争取产业扶持政策，强化对龙头企业的吸引力</w:t>
            </w:r>
            <w:r>
              <w:rPr>
                <w:rFonts w:hint="eastAsia" w:ascii="仿宋_GB2312" w:hAnsi="仿宋_GB2312" w:eastAsia="仿宋_GB2312" w:cs="仿宋_GB2312"/>
                <w:kern w:val="0"/>
                <w:sz w:val="24"/>
                <w:szCs w:val="24"/>
                <w:vertAlign w:val="baseline"/>
                <w:lang w:val="en-US" w:eastAsia="zh-CN"/>
              </w:rPr>
              <w:t>；</w:t>
            </w:r>
          </w:p>
          <w:p w14:paraId="04D7F7E7">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3.牵头共建“产业+高校研究院”平台，推动微波领域科研成果向现实生产力高效转化；</w:t>
            </w:r>
          </w:p>
          <w:p w14:paraId="1FF5632B">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4.建立健全项目风险评估机制，</w:t>
            </w:r>
            <w:r>
              <w:rPr>
                <w:rFonts w:hint="default" w:ascii="仿宋_GB2312" w:hAnsi="仿宋_GB2312" w:eastAsia="仿宋_GB2312" w:cs="仿宋_GB2312"/>
                <w:kern w:val="0"/>
                <w:sz w:val="24"/>
                <w:szCs w:val="24"/>
                <w:vertAlign w:val="baseline"/>
                <w:lang w:val="en-US" w:eastAsia="zh-CN"/>
              </w:rPr>
              <w:t>主导项目尽调、谈判及落地协调</w:t>
            </w:r>
            <w:r>
              <w:rPr>
                <w:rFonts w:hint="eastAsia" w:ascii="仿宋_GB2312" w:hAnsi="仿宋_GB2312" w:eastAsia="仿宋_GB2312" w:cs="仿宋_GB2312"/>
                <w:kern w:val="0"/>
                <w:sz w:val="24"/>
                <w:szCs w:val="24"/>
                <w:vertAlign w:val="baseline"/>
                <w:lang w:val="en-US" w:eastAsia="zh-CN"/>
              </w:rPr>
              <w:t>；</w:t>
            </w:r>
          </w:p>
          <w:p w14:paraId="1DCCE67B">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5.完成领导交办的其他工作。</w:t>
            </w:r>
          </w:p>
        </w:tc>
        <w:tc>
          <w:tcPr>
            <w:tcW w:w="4377" w:type="dxa"/>
            <w:shd w:val="clear" w:color="auto" w:fill="auto"/>
            <w:noWrap w:val="0"/>
            <w:vAlign w:val="center"/>
          </w:tcPr>
          <w:p w14:paraId="7398D0BD">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2915AF66">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2.具备良好的团队管理和技术指导能力，能独立完成技术方案编制和评审；</w:t>
            </w:r>
          </w:p>
          <w:p w14:paraId="3447F9DA">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3.具有激光、微波、粒子束、电子信息、数字技术、芯片产业、软件开发等领域相关工作经历，担任中层及以上职务2年及以上。</w:t>
            </w:r>
          </w:p>
          <w:p w14:paraId="42B52166">
            <w:pPr>
              <w:snapToGrid w:val="0"/>
              <w:jc w:val="left"/>
              <w:rPr>
                <w:rFonts w:hint="eastAsia" w:ascii="仿宋_GB2312" w:hAnsi="仿宋_GB2312" w:eastAsia="仿宋_GB2312" w:cs="仿宋_GB2312"/>
                <w:kern w:val="0"/>
                <w:sz w:val="24"/>
                <w:szCs w:val="24"/>
                <w:vertAlign w:val="baseline"/>
                <w:lang w:val="en-US" w:eastAsia="zh-CN" w:bidi="ar-SA"/>
              </w:rPr>
            </w:pPr>
          </w:p>
        </w:tc>
      </w:tr>
      <w:tr w14:paraId="6E08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046" w:hRule="atLeast"/>
          <w:jc w:val="center"/>
        </w:trPr>
        <w:tc>
          <w:tcPr>
            <w:tcW w:w="688" w:type="dxa"/>
            <w:shd w:val="clear" w:color="auto" w:fill="auto"/>
            <w:noWrap w:val="0"/>
            <w:vAlign w:val="center"/>
          </w:tcPr>
          <w:p w14:paraId="2AC756D7">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B-2</w:t>
            </w:r>
          </w:p>
        </w:tc>
        <w:tc>
          <w:tcPr>
            <w:tcW w:w="579" w:type="dxa"/>
            <w:shd w:val="clear" w:color="auto" w:fill="auto"/>
            <w:noWrap w:val="0"/>
            <w:vAlign w:val="center"/>
          </w:tcPr>
          <w:p w14:paraId="3642265E">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微波事业</w:t>
            </w:r>
            <w:r>
              <w:rPr>
                <w:rFonts w:hint="default" w:ascii="仿宋_GB2312" w:hAnsi="仿宋_GB2312" w:eastAsia="仿宋_GB2312" w:cs="仿宋_GB2312"/>
                <w:kern w:val="0"/>
                <w:sz w:val="24"/>
                <w:szCs w:val="24"/>
                <w:vertAlign w:val="baseline"/>
                <w:lang w:val="en-US" w:eastAsia="zh-CN"/>
              </w:rPr>
              <w:t>部</w:t>
            </w:r>
          </w:p>
        </w:tc>
        <w:tc>
          <w:tcPr>
            <w:tcW w:w="666" w:type="dxa"/>
            <w:shd w:val="clear" w:color="auto" w:fill="auto"/>
            <w:noWrap w:val="0"/>
            <w:vAlign w:val="center"/>
          </w:tcPr>
          <w:p w14:paraId="4EC559D5">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普通职员岗</w:t>
            </w:r>
          </w:p>
        </w:tc>
        <w:tc>
          <w:tcPr>
            <w:tcW w:w="645" w:type="dxa"/>
            <w:shd w:val="clear" w:color="auto" w:fill="auto"/>
            <w:noWrap w:val="0"/>
            <w:vAlign w:val="center"/>
          </w:tcPr>
          <w:p w14:paraId="7229E2C3">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w:t>
            </w:r>
          </w:p>
        </w:tc>
        <w:tc>
          <w:tcPr>
            <w:tcW w:w="1039" w:type="dxa"/>
            <w:shd w:val="clear" w:color="auto" w:fill="auto"/>
            <w:noWrap w:val="0"/>
            <w:vAlign w:val="center"/>
          </w:tcPr>
          <w:p w14:paraId="7115B071">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全日制本科及以上学历</w:t>
            </w:r>
          </w:p>
        </w:tc>
        <w:tc>
          <w:tcPr>
            <w:tcW w:w="1215" w:type="dxa"/>
            <w:shd w:val="clear" w:color="auto" w:fill="auto"/>
            <w:noWrap w:val="0"/>
            <w:vAlign w:val="center"/>
          </w:tcPr>
          <w:p w14:paraId="60A2E5A0">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7859BAF3">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1.协助领导完成招商图谱绘制、计划编制，建立项目风险评估机制；</w:t>
            </w:r>
          </w:p>
          <w:p w14:paraId="6C7EDE89">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2.负责招商材料编制、建立动态招商台账、对接潜在客户，协助组织招商洽谈会，提供政策解读，记录企业诉求，联动政府解决招引堵点，协助推动企业注册、落地；</w:t>
            </w:r>
          </w:p>
          <w:p w14:paraId="385B9BE3">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3.建立企业回访机制，收集技术改造、市场拓展需求，协调区内配套资源，促成二次投资或上下游产业链推进；</w:t>
            </w:r>
          </w:p>
          <w:p w14:paraId="277B9C46">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7B6A76FA">
            <w:pPr>
              <w:snapToGrid w:val="0"/>
              <w:jc w:val="left"/>
              <w:rPr>
                <w:rFonts w:ascii="仿宋_GB2312" w:eastAsia="仿宋_GB2312"/>
                <w:sz w:val="24"/>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5ADB047B">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2.掌握项目技术管理流程和规范、项目技术文档管理，具备相关行业技术经验；</w:t>
            </w:r>
          </w:p>
          <w:p w14:paraId="7FBD4F68">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3.具有激光、微波、粒子束、电子信息、数字技术、芯片产业、软件开发等领域2年及以上相关工作经历。</w:t>
            </w:r>
          </w:p>
        </w:tc>
      </w:tr>
      <w:tr w14:paraId="5164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931" w:hRule="atLeast"/>
          <w:jc w:val="center"/>
        </w:trPr>
        <w:tc>
          <w:tcPr>
            <w:tcW w:w="688" w:type="dxa"/>
            <w:shd w:val="clear" w:color="auto" w:fill="auto"/>
            <w:noWrap w:val="0"/>
            <w:vAlign w:val="center"/>
          </w:tcPr>
          <w:p w14:paraId="52F27DAE">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C-1</w:t>
            </w:r>
          </w:p>
        </w:tc>
        <w:tc>
          <w:tcPr>
            <w:tcW w:w="579" w:type="dxa"/>
            <w:shd w:val="clear" w:color="auto" w:fill="auto"/>
            <w:noWrap w:val="0"/>
            <w:vAlign w:val="center"/>
          </w:tcPr>
          <w:p w14:paraId="64133F19">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粒子束事业</w:t>
            </w:r>
            <w:r>
              <w:rPr>
                <w:rFonts w:hint="default" w:ascii="仿宋_GB2312" w:hAnsi="仿宋_GB2312" w:eastAsia="仿宋_GB2312" w:cs="仿宋_GB2312"/>
                <w:kern w:val="0"/>
                <w:sz w:val="24"/>
                <w:szCs w:val="24"/>
                <w:vertAlign w:val="baseline"/>
                <w:lang w:val="en-US" w:eastAsia="zh-CN"/>
              </w:rPr>
              <w:t>部</w:t>
            </w:r>
          </w:p>
        </w:tc>
        <w:tc>
          <w:tcPr>
            <w:tcW w:w="666" w:type="dxa"/>
            <w:shd w:val="clear" w:color="auto" w:fill="auto"/>
            <w:noWrap w:val="0"/>
            <w:vAlign w:val="center"/>
          </w:tcPr>
          <w:p w14:paraId="1889B8E0">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中层管理岗</w:t>
            </w:r>
          </w:p>
        </w:tc>
        <w:tc>
          <w:tcPr>
            <w:tcW w:w="645" w:type="dxa"/>
            <w:shd w:val="clear" w:color="auto" w:fill="auto"/>
            <w:noWrap w:val="0"/>
            <w:vAlign w:val="center"/>
          </w:tcPr>
          <w:p w14:paraId="13929685">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59F02D3A">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研究生及以上学历，满足招聘条件（1）可放宽至全日制本科</w:t>
            </w:r>
          </w:p>
        </w:tc>
        <w:tc>
          <w:tcPr>
            <w:tcW w:w="1215" w:type="dxa"/>
            <w:shd w:val="clear" w:color="auto" w:fill="auto"/>
            <w:noWrap w:val="0"/>
            <w:vAlign w:val="center"/>
          </w:tcPr>
          <w:p w14:paraId="05A8BAA2">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2DA61D39">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r>
              <w:rPr>
                <w:rFonts w:hint="default" w:ascii="仿宋_GB2312" w:hAnsi="仿宋_GB2312" w:eastAsia="仿宋_GB2312" w:cs="仿宋_GB2312"/>
                <w:kern w:val="0"/>
                <w:sz w:val="24"/>
                <w:szCs w:val="24"/>
                <w:vertAlign w:val="baseline"/>
                <w:lang w:val="en-US" w:eastAsia="zh-CN"/>
              </w:rPr>
              <w:t>牵头编制</w:t>
            </w:r>
            <w:r>
              <w:rPr>
                <w:rFonts w:hint="eastAsia" w:ascii="仿宋_GB2312" w:hAnsi="仿宋_GB2312" w:eastAsia="仿宋_GB2312" w:cs="仿宋_GB2312"/>
                <w:kern w:val="0"/>
                <w:sz w:val="24"/>
                <w:szCs w:val="24"/>
                <w:vertAlign w:val="baseline"/>
                <w:lang w:val="en-US" w:eastAsia="zh-CN"/>
              </w:rPr>
              <w:t>粒子束</w:t>
            </w:r>
            <w:r>
              <w:rPr>
                <w:rFonts w:hint="default" w:ascii="仿宋_GB2312" w:hAnsi="仿宋_GB2312" w:eastAsia="仿宋_GB2312" w:cs="仿宋_GB2312"/>
                <w:kern w:val="0"/>
                <w:sz w:val="24"/>
                <w:szCs w:val="24"/>
                <w:vertAlign w:val="baseline"/>
                <w:lang w:val="en-US" w:eastAsia="zh-CN"/>
              </w:rPr>
              <w:t>产业招商图谱，结合区域产业链规划制定年度招商计划，明确重点领域目标企业</w:t>
            </w:r>
            <w:r>
              <w:rPr>
                <w:rFonts w:hint="eastAsia" w:ascii="仿宋_GB2312" w:hAnsi="仿宋_GB2312" w:eastAsia="仿宋_GB2312" w:cs="仿宋_GB2312"/>
                <w:kern w:val="0"/>
                <w:sz w:val="24"/>
                <w:szCs w:val="24"/>
                <w:vertAlign w:val="baseline"/>
                <w:lang w:val="en-US" w:eastAsia="zh-CN"/>
              </w:rPr>
              <w:t>；</w:t>
            </w:r>
          </w:p>
          <w:p w14:paraId="3FE13EF6">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w:t>
            </w:r>
            <w:r>
              <w:rPr>
                <w:rFonts w:hint="default" w:ascii="仿宋_GB2312" w:hAnsi="仿宋_GB2312" w:eastAsia="仿宋_GB2312" w:cs="仿宋_GB2312"/>
                <w:kern w:val="0"/>
                <w:sz w:val="24"/>
                <w:szCs w:val="24"/>
                <w:vertAlign w:val="baseline"/>
                <w:lang w:val="en-US" w:eastAsia="zh-CN"/>
              </w:rPr>
              <w:t>对接发改、工信</w:t>
            </w:r>
            <w:r>
              <w:rPr>
                <w:rFonts w:hint="eastAsia" w:ascii="仿宋_GB2312" w:hAnsi="仿宋_GB2312" w:eastAsia="仿宋_GB2312" w:cs="仿宋_GB2312"/>
                <w:kern w:val="0"/>
                <w:sz w:val="24"/>
                <w:szCs w:val="24"/>
                <w:vertAlign w:val="baseline"/>
                <w:lang w:val="en-US" w:eastAsia="zh-CN"/>
              </w:rPr>
              <w:t>等</w:t>
            </w:r>
            <w:r>
              <w:rPr>
                <w:rFonts w:hint="default" w:ascii="仿宋_GB2312" w:hAnsi="仿宋_GB2312" w:eastAsia="仿宋_GB2312" w:cs="仿宋_GB2312"/>
                <w:kern w:val="0"/>
                <w:sz w:val="24"/>
                <w:szCs w:val="24"/>
                <w:vertAlign w:val="baseline"/>
                <w:lang w:val="en-US" w:eastAsia="zh-CN"/>
              </w:rPr>
              <w:t>部门，争取产业扶持政策，强化对龙头企业的吸引力</w:t>
            </w:r>
            <w:r>
              <w:rPr>
                <w:rFonts w:hint="eastAsia" w:ascii="仿宋_GB2312" w:hAnsi="仿宋_GB2312" w:eastAsia="仿宋_GB2312" w:cs="仿宋_GB2312"/>
                <w:kern w:val="0"/>
                <w:sz w:val="24"/>
                <w:szCs w:val="24"/>
                <w:vertAlign w:val="baseline"/>
                <w:lang w:val="en-US" w:eastAsia="zh-CN"/>
              </w:rPr>
              <w:t>；</w:t>
            </w:r>
          </w:p>
          <w:p w14:paraId="1CF765C4">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3.牵头共建“产业+高校研究院”平台，推动粒子束领域科研成果向现实生产力高效转化；</w:t>
            </w:r>
          </w:p>
          <w:p w14:paraId="5E07D45C">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4.建立健全项目风险评估机制，</w:t>
            </w:r>
            <w:r>
              <w:rPr>
                <w:rFonts w:hint="default" w:ascii="仿宋_GB2312" w:hAnsi="仿宋_GB2312" w:eastAsia="仿宋_GB2312" w:cs="仿宋_GB2312"/>
                <w:kern w:val="0"/>
                <w:sz w:val="24"/>
                <w:szCs w:val="24"/>
                <w:vertAlign w:val="baseline"/>
                <w:lang w:val="en-US" w:eastAsia="zh-CN"/>
              </w:rPr>
              <w:t>主导项目尽调、谈判及落地协调</w:t>
            </w:r>
            <w:r>
              <w:rPr>
                <w:rFonts w:hint="eastAsia" w:ascii="仿宋_GB2312" w:hAnsi="仿宋_GB2312" w:eastAsia="仿宋_GB2312" w:cs="仿宋_GB2312"/>
                <w:kern w:val="0"/>
                <w:sz w:val="24"/>
                <w:szCs w:val="24"/>
                <w:vertAlign w:val="baseline"/>
                <w:lang w:val="en-US" w:eastAsia="zh-CN"/>
              </w:rPr>
              <w:t>；</w:t>
            </w:r>
          </w:p>
          <w:p w14:paraId="3CB3A879">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5.完成领导交办的其他工作。</w:t>
            </w:r>
          </w:p>
        </w:tc>
        <w:tc>
          <w:tcPr>
            <w:tcW w:w="4377" w:type="dxa"/>
            <w:shd w:val="clear" w:color="auto" w:fill="auto"/>
            <w:noWrap w:val="0"/>
            <w:vAlign w:val="center"/>
          </w:tcPr>
          <w:p w14:paraId="3FDA7440">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62758517">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2.具备良好的团队管理和技术指导能力，能独立完成技术方案编制和评审；</w:t>
            </w:r>
          </w:p>
          <w:p w14:paraId="1D72A05A">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3.具有激光、微波、粒子束、电子信息、数字技术、芯片产业、软件开发等领域相关工作经历，担任中层及以上职务2年及以上。</w:t>
            </w:r>
          </w:p>
        </w:tc>
      </w:tr>
      <w:tr w14:paraId="66A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006" w:hRule="atLeast"/>
          <w:jc w:val="center"/>
        </w:trPr>
        <w:tc>
          <w:tcPr>
            <w:tcW w:w="688" w:type="dxa"/>
            <w:shd w:val="clear" w:color="auto" w:fill="auto"/>
            <w:noWrap w:val="0"/>
            <w:vAlign w:val="center"/>
          </w:tcPr>
          <w:p w14:paraId="1CFB5C77">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C-2</w:t>
            </w:r>
          </w:p>
        </w:tc>
        <w:tc>
          <w:tcPr>
            <w:tcW w:w="579" w:type="dxa"/>
            <w:shd w:val="clear" w:color="auto" w:fill="auto"/>
            <w:noWrap w:val="0"/>
            <w:vAlign w:val="center"/>
          </w:tcPr>
          <w:p w14:paraId="70302B47">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粒子束事业</w:t>
            </w:r>
            <w:r>
              <w:rPr>
                <w:rFonts w:hint="default" w:ascii="仿宋_GB2312" w:hAnsi="仿宋_GB2312" w:eastAsia="仿宋_GB2312" w:cs="仿宋_GB2312"/>
                <w:kern w:val="0"/>
                <w:sz w:val="24"/>
                <w:szCs w:val="24"/>
                <w:vertAlign w:val="baseline"/>
                <w:lang w:val="en-US" w:eastAsia="zh-CN"/>
              </w:rPr>
              <w:t>部</w:t>
            </w:r>
          </w:p>
        </w:tc>
        <w:tc>
          <w:tcPr>
            <w:tcW w:w="666" w:type="dxa"/>
            <w:shd w:val="clear" w:color="auto" w:fill="auto"/>
            <w:noWrap w:val="0"/>
            <w:vAlign w:val="center"/>
          </w:tcPr>
          <w:p w14:paraId="0D876A61">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普通职员岗</w:t>
            </w:r>
          </w:p>
        </w:tc>
        <w:tc>
          <w:tcPr>
            <w:tcW w:w="645" w:type="dxa"/>
            <w:shd w:val="clear" w:color="auto" w:fill="auto"/>
            <w:noWrap w:val="0"/>
            <w:vAlign w:val="center"/>
          </w:tcPr>
          <w:p w14:paraId="2B7B6153">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w:t>
            </w:r>
          </w:p>
        </w:tc>
        <w:tc>
          <w:tcPr>
            <w:tcW w:w="1039" w:type="dxa"/>
            <w:shd w:val="clear" w:color="auto" w:fill="auto"/>
            <w:noWrap w:val="0"/>
            <w:vAlign w:val="center"/>
          </w:tcPr>
          <w:p w14:paraId="46027D88">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全日制本科及以上学历</w:t>
            </w:r>
          </w:p>
        </w:tc>
        <w:tc>
          <w:tcPr>
            <w:tcW w:w="1215" w:type="dxa"/>
            <w:shd w:val="clear" w:color="auto" w:fill="auto"/>
            <w:noWrap w:val="0"/>
            <w:vAlign w:val="center"/>
          </w:tcPr>
          <w:p w14:paraId="7A6D1DCD">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电子信息工程、通信工程、经济学、工商管理</w:t>
            </w:r>
          </w:p>
        </w:tc>
        <w:tc>
          <w:tcPr>
            <w:tcW w:w="5978" w:type="dxa"/>
            <w:shd w:val="clear" w:color="auto" w:fill="auto"/>
            <w:noWrap w:val="0"/>
            <w:vAlign w:val="center"/>
          </w:tcPr>
          <w:p w14:paraId="385414F9">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1.协助领导完成招商图谱绘制、计划编制，建立项目风险评估机制；</w:t>
            </w:r>
          </w:p>
          <w:p w14:paraId="0FF74F97">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2.负责招商材料编制、建立动态招商台账、对接潜在客户，协助组织招商洽谈会，提供政策解读，记录企业诉求，联动政府解决招引堵点，协助推动企业注册、落地；</w:t>
            </w:r>
          </w:p>
          <w:p w14:paraId="57BBF68B">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3.建立企业回访机制，收集技术改造、市场拓展需求，协调区内配套资源，促成二次投资或上下游产业链推进；</w:t>
            </w:r>
          </w:p>
          <w:p w14:paraId="4487CE6C">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7AFA2C5E">
            <w:pPr>
              <w:snapToGrid w:val="0"/>
              <w:jc w:val="left"/>
              <w:rPr>
                <w:rFonts w:ascii="仿宋_GB2312" w:eastAsia="仿宋_GB2312"/>
                <w:sz w:val="24"/>
              </w:rPr>
            </w:pPr>
            <w:r>
              <w:rPr>
                <w:rFonts w:hint="eastAsia" w:ascii="仿宋_GB2312" w:hAnsi="仿宋_GB2312" w:eastAsia="仿宋_GB2312" w:cs="仿宋_GB2312"/>
                <w:kern w:val="0"/>
                <w:sz w:val="24"/>
                <w:szCs w:val="24"/>
                <w:vertAlign w:val="baseline"/>
                <w:lang w:val="en-US" w:eastAsia="zh-CN"/>
              </w:rPr>
              <w:t>1.熟悉新兴产业发展相关政策和产业形态，具备产业链研究、政策解读、政企协调、风险识别和评估能力；</w:t>
            </w:r>
          </w:p>
          <w:p w14:paraId="5E66CA04">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2.掌握项目技术管理流程和规范、项目技术文档管理，具备相关行业技术经验；</w:t>
            </w:r>
          </w:p>
          <w:p w14:paraId="58867906">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3.具有激光、微波、粒子束、电子信息、数字技术、芯片产业、软件开发等领域2年及以上相关工作经历。</w:t>
            </w:r>
          </w:p>
        </w:tc>
      </w:tr>
      <w:tr w14:paraId="6842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716" w:hRule="atLeast"/>
          <w:jc w:val="center"/>
        </w:trPr>
        <w:tc>
          <w:tcPr>
            <w:tcW w:w="688" w:type="dxa"/>
            <w:shd w:val="clear" w:color="auto" w:fill="auto"/>
            <w:noWrap w:val="0"/>
            <w:vAlign w:val="center"/>
          </w:tcPr>
          <w:p w14:paraId="71A6F5D1">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D-1</w:t>
            </w:r>
          </w:p>
        </w:tc>
        <w:tc>
          <w:tcPr>
            <w:tcW w:w="579" w:type="dxa"/>
            <w:shd w:val="clear" w:color="auto" w:fill="auto"/>
            <w:noWrap w:val="0"/>
            <w:vAlign w:val="center"/>
          </w:tcPr>
          <w:p w14:paraId="0D36E4C0">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科创事业部</w:t>
            </w:r>
          </w:p>
        </w:tc>
        <w:tc>
          <w:tcPr>
            <w:tcW w:w="666" w:type="dxa"/>
            <w:shd w:val="clear" w:color="auto" w:fill="auto"/>
            <w:noWrap w:val="0"/>
            <w:vAlign w:val="center"/>
          </w:tcPr>
          <w:p w14:paraId="4EEBDD88">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中层管理岗</w:t>
            </w:r>
          </w:p>
        </w:tc>
        <w:tc>
          <w:tcPr>
            <w:tcW w:w="645" w:type="dxa"/>
            <w:shd w:val="clear" w:color="auto" w:fill="auto"/>
            <w:noWrap w:val="0"/>
            <w:vAlign w:val="center"/>
          </w:tcPr>
          <w:p w14:paraId="5FDAC9F7">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170E606C">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研究生及以上学历</w:t>
            </w:r>
          </w:p>
        </w:tc>
        <w:tc>
          <w:tcPr>
            <w:tcW w:w="1215" w:type="dxa"/>
            <w:shd w:val="clear" w:color="auto" w:fill="auto"/>
            <w:noWrap w:val="0"/>
            <w:vAlign w:val="center"/>
          </w:tcPr>
          <w:p w14:paraId="7B570B27">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金融类、工程类、建筑类、法律类、经济类</w:t>
            </w:r>
          </w:p>
        </w:tc>
        <w:tc>
          <w:tcPr>
            <w:tcW w:w="5978" w:type="dxa"/>
            <w:shd w:val="clear" w:color="auto" w:fill="auto"/>
            <w:noWrap w:val="0"/>
            <w:vAlign w:val="center"/>
          </w:tcPr>
          <w:p w14:paraId="75C4CD26">
            <w:pPr>
              <w:numPr>
                <w:ilvl w:val="-1"/>
                <w:numId w:val="0"/>
              </w:numPr>
              <w:snapToGrid/>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1.制定公司投融资战略、年度计划及中长期规划，明确投资方向与重点领域，选择最优融资工具，维护与银行、信托等金融机构的长期合作关系，确保融资渠道畅通；</w:t>
            </w:r>
          </w:p>
          <w:p w14:paraId="3E0BA893">
            <w:pPr>
              <w:numPr>
                <w:ilvl w:val="-1"/>
                <w:numId w:val="0"/>
              </w:numPr>
              <w:snapToGrid/>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2.建立健全投融资管理制度、流程及风险控制体系，审核重大投资项目可行性报告，对公司投资决策提供专业意见；</w:t>
            </w:r>
          </w:p>
          <w:p w14:paraId="44A1A09F">
            <w:pPr>
              <w:numPr>
                <w:ilvl w:val="-1"/>
                <w:numId w:val="0"/>
              </w:numPr>
              <w:snapToGrid/>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3.跟踪研究国家及地方政策，指导开展项目筛选、尽职调查、交易结构设计、协议谈判、投后管理等工作；</w:t>
            </w:r>
          </w:p>
          <w:p w14:paraId="4024A7E2">
            <w:pPr>
              <w:snapToGrid/>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355ADAAE">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1.具备项目现金流测算、敏感性分析能力；</w:t>
            </w:r>
          </w:p>
          <w:p w14:paraId="12A6A733">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2.对公司相关业务领域具备一定的基础知识，能理解行业技术逻辑和市场特点；</w:t>
            </w:r>
          </w:p>
          <w:p w14:paraId="112797DC">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3.熟悉国家宏观经济政策、相关法律法规和行业知识，熟悉国资监管和国企改革工作，具有履行岗位职责所必需的专业知识；</w:t>
            </w:r>
          </w:p>
          <w:p w14:paraId="0B840F89">
            <w:r>
              <w:rPr>
                <w:rFonts w:hint="eastAsia" w:ascii="仿宋_GB2312" w:hAnsi="仿宋_GB2312" w:eastAsia="仿宋_GB2312" w:cs="仿宋_GB2312"/>
                <w:kern w:val="0"/>
                <w:sz w:val="24"/>
                <w:szCs w:val="24"/>
                <w:vertAlign w:val="baseline"/>
                <w:lang w:val="en-US" w:eastAsia="zh-CN"/>
              </w:rPr>
              <w:t>4.具有市、县、区国有企业相关工作经验或者参与光子科创公司组建筹备工作的人员优先。</w:t>
            </w:r>
          </w:p>
          <w:p w14:paraId="2FC907F2">
            <w:pPr>
              <w:snapToGrid w:val="0"/>
              <w:jc w:val="left"/>
              <w:rPr>
                <w:rFonts w:hint="eastAsia" w:ascii="仿宋_GB2312" w:hAnsi="仿宋_GB2312" w:eastAsia="仿宋_GB2312" w:cs="仿宋_GB2312"/>
                <w:kern w:val="0"/>
                <w:sz w:val="24"/>
                <w:szCs w:val="24"/>
                <w:vertAlign w:val="baseline"/>
                <w:lang w:val="en-US" w:eastAsia="zh-CN" w:bidi="ar-SA"/>
              </w:rPr>
            </w:pPr>
          </w:p>
        </w:tc>
      </w:tr>
      <w:tr w14:paraId="66AA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006" w:hRule="atLeast"/>
          <w:jc w:val="center"/>
        </w:trPr>
        <w:tc>
          <w:tcPr>
            <w:tcW w:w="688" w:type="dxa"/>
            <w:shd w:val="clear" w:color="auto" w:fill="auto"/>
            <w:noWrap w:val="0"/>
            <w:vAlign w:val="center"/>
          </w:tcPr>
          <w:p w14:paraId="244375C8">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D-2</w:t>
            </w:r>
          </w:p>
        </w:tc>
        <w:tc>
          <w:tcPr>
            <w:tcW w:w="579" w:type="dxa"/>
            <w:shd w:val="clear" w:color="auto" w:fill="auto"/>
            <w:noWrap w:val="0"/>
            <w:vAlign w:val="center"/>
          </w:tcPr>
          <w:p w14:paraId="40685634">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科创事业部</w:t>
            </w:r>
          </w:p>
        </w:tc>
        <w:tc>
          <w:tcPr>
            <w:tcW w:w="666" w:type="dxa"/>
            <w:shd w:val="clear" w:color="auto" w:fill="auto"/>
            <w:noWrap w:val="0"/>
            <w:vAlign w:val="center"/>
          </w:tcPr>
          <w:p w14:paraId="2E7DDF2B">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普通职员岗</w:t>
            </w:r>
          </w:p>
        </w:tc>
        <w:tc>
          <w:tcPr>
            <w:tcW w:w="645" w:type="dxa"/>
            <w:shd w:val="clear" w:color="auto" w:fill="auto"/>
            <w:noWrap w:val="0"/>
            <w:vAlign w:val="center"/>
          </w:tcPr>
          <w:p w14:paraId="48050111">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w:t>
            </w:r>
          </w:p>
        </w:tc>
        <w:tc>
          <w:tcPr>
            <w:tcW w:w="1039" w:type="dxa"/>
            <w:shd w:val="clear" w:color="auto" w:fill="auto"/>
            <w:noWrap w:val="0"/>
            <w:vAlign w:val="center"/>
          </w:tcPr>
          <w:p w14:paraId="5330ECFA">
            <w:pPr>
              <w:snapToGrid w:val="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全日制本科及以上学历</w:t>
            </w:r>
          </w:p>
        </w:tc>
        <w:tc>
          <w:tcPr>
            <w:tcW w:w="1215" w:type="dxa"/>
            <w:shd w:val="clear" w:color="auto" w:fill="auto"/>
            <w:noWrap w:val="0"/>
            <w:vAlign w:val="center"/>
          </w:tcPr>
          <w:p w14:paraId="2F52CEB5">
            <w:pPr>
              <w:snapToGrid w:val="0"/>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金融类、工程类、建筑类、法律类、经济类</w:t>
            </w:r>
          </w:p>
        </w:tc>
        <w:tc>
          <w:tcPr>
            <w:tcW w:w="5978" w:type="dxa"/>
            <w:shd w:val="clear" w:color="auto" w:fill="auto"/>
            <w:noWrap w:val="0"/>
            <w:vAlign w:val="center"/>
          </w:tcPr>
          <w:p w14:paraId="4A11EF91">
            <w:pPr>
              <w:snapToGrid/>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1.协助领导完成公司投融资战略、年度计划及中长期规划，负责项目的前期实施、运营管理、后期评估与绩效分析；</w:t>
            </w:r>
          </w:p>
          <w:p w14:paraId="760830F8">
            <w:pPr>
              <w:snapToGrid/>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2.收集、整理相关行业及市场数据，完成项目筛选、尽职调查、立项准备、可行性报告编制，方案制定等工作；</w:t>
            </w:r>
          </w:p>
          <w:p w14:paraId="20C432A4">
            <w:pPr>
              <w:snapToGrid/>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3.维护投融资项目档案，包括合同协议、审批文件、财务报表等，确保档案完整合规；</w:t>
            </w:r>
          </w:p>
          <w:p w14:paraId="4C1D8509">
            <w:pPr>
              <w:snapToGrid/>
              <w:jc w:val="left"/>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3CFFF895">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1.具备投融资相关工作经历；</w:t>
            </w:r>
          </w:p>
          <w:p w14:paraId="222DF3CB">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2.熟悉投融资运营管理流程和规范；</w:t>
            </w:r>
          </w:p>
          <w:p w14:paraId="4EC7A087">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3.对公司相关业务领域具备一定的基础知识，能理解行业技术逻辑和市场特点；</w:t>
            </w:r>
          </w:p>
          <w:p w14:paraId="758F7097">
            <w:r>
              <w:rPr>
                <w:rFonts w:hint="eastAsia" w:ascii="仿宋_GB2312" w:hAnsi="仿宋_GB2312" w:eastAsia="仿宋_GB2312" w:cs="仿宋_GB2312"/>
                <w:kern w:val="0"/>
                <w:sz w:val="24"/>
                <w:szCs w:val="24"/>
                <w:vertAlign w:val="baseline"/>
                <w:lang w:val="en-US" w:eastAsia="zh-CN"/>
              </w:rPr>
              <w:t>4.具有市、县、区国有企业相关工作经验或者参与光子科创公司组建筹备工作的人员优先。</w:t>
            </w:r>
          </w:p>
          <w:p w14:paraId="582AB57A">
            <w:pPr>
              <w:snapToGrid w:val="0"/>
              <w:jc w:val="left"/>
              <w:rPr>
                <w:rFonts w:hint="eastAsia" w:ascii="仿宋_GB2312" w:hAnsi="仿宋_GB2312" w:eastAsia="仿宋_GB2312" w:cs="仿宋_GB2312"/>
                <w:kern w:val="0"/>
                <w:sz w:val="24"/>
                <w:szCs w:val="24"/>
                <w:vertAlign w:val="baseline"/>
                <w:lang w:val="en-US" w:eastAsia="zh-CN" w:bidi="ar-SA"/>
              </w:rPr>
            </w:pPr>
          </w:p>
          <w:p w14:paraId="084877B8">
            <w:pPr>
              <w:snapToGrid w:val="0"/>
              <w:jc w:val="left"/>
              <w:rPr>
                <w:rFonts w:hint="eastAsia" w:ascii="仿宋_GB2312" w:hAnsi="仿宋_GB2312" w:eastAsia="仿宋_GB2312" w:cs="仿宋_GB2312"/>
                <w:kern w:val="0"/>
                <w:sz w:val="24"/>
                <w:szCs w:val="24"/>
                <w:vertAlign w:val="baseline"/>
                <w:lang w:val="en-US" w:eastAsia="zh-CN" w:bidi="ar-SA"/>
              </w:rPr>
            </w:pPr>
          </w:p>
        </w:tc>
      </w:tr>
      <w:tr w14:paraId="2E62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006" w:hRule="atLeast"/>
          <w:jc w:val="center"/>
        </w:trPr>
        <w:tc>
          <w:tcPr>
            <w:tcW w:w="688" w:type="dxa"/>
            <w:shd w:val="clear" w:color="auto" w:fill="auto"/>
            <w:noWrap w:val="0"/>
            <w:vAlign w:val="center"/>
          </w:tcPr>
          <w:p w14:paraId="6A061DCF">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E-1</w:t>
            </w:r>
          </w:p>
        </w:tc>
        <w:tc>
          <w:tcPr>
            <w:tcW w:w="579" w:type="dxa"/>
            <w:shd w:val="clear" w:color="auto" w:fill="auto"/>
            <w:noWrap w:val="0"/>
            <w:vAlign w:val="center"/>
          </w:tcPr>
          <w:p w14:paraId="308466B1">
            <w:pPr>
              <w:snapToGrid w:val="0"/>
              <w:jc w:val="center"/>
              <w:rPr>
                <w:rFonts w:hint="eastAsia" w:ascii="仿宋_GB2312" w:hAnsi="仿宋_GB2312" w:eastAsia="仿宋_GB2312" w:cs="仿宋_GB2312"/>
                <w:kern w:val="0"/>
                <w:sz w:val="24"/>
                <w:szCs w:val="24"/>
                <w:vertAlign w:val="baseline"/>
                <w:lang w:val="en-US" w:eastAsia="zh-CN"/>
              </w:rPr>
            </w:pPr>
            <w:r>
              <w:rPr>
                <w:rFonts w:hint="default" w:ascii="仿宋_GB2312" w:hAnsi="仿宋_GB2312" w:eastAsia="仿宋_GB2312" w:cs="仿宋_GB2312"/>
                <w:kern w:val="0"/>
                <w:sz w:val="24"/>
                <w:szCs w:val="24"/>
                <w:vertAlign w:val="baseline"/>
                <w:lang w:val="en-US" w:eastAsia="zh-CN"/>
              </w:rPr>
              <w:t>合规部</w:t>
            </w:r>
          </w:p>
        </w:tc>
        <w:tc>
          <w:tcPr>
            <w:tcW w:w="666" w:type="dxa"/>
            <w:shd w:val="clear" w:color="auto" w:fill="auto"/>
            <w:noWrap w:val="0"/>
            <w:vAlign w:val="center"/>
          </w:tcPr>
          <w:p w14:paraId="5D4C1FB1">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中层管理岗</w:t>
            </w:r>
          </w:p>
        </w:tc>
        <w:tc>
          <w:tcPr>
            <w:tcW w:w="645" w:type="dxa"/>
            <w:shd w:val="clear" w:color="auto" w:fill="auto"/>
            <w:noWrap w:val="0"/>
            <w:vAlign w:val="center"/>
          </w:tcPr>
          <w:p w14:paraId="14AFE39F">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200B770F">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研究生及以上学历</w:t>
            </w:r>
          </w:p>
        </w:tc>
        <w:tc>
          <w:tcPr>
            <w:tcW w:w="1215" w:type="dxa"/>
            <w:shd w:val="clear" w:color="auto" w:fill="auto"/>
            <w:noWrap w:val="0"/>
            <w:vAlign w:val="center"/>
          </w:tcPr>
          <w:p w14:paraId="623696EA">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法学、经济学、工商管理、工程管理</w:t>
            </w:r>
          </w:p>
        </w:tc>
        <w:tc>
          <w:tcPr>
            <w:tcW w:w="5978" w:type="dxa"/>
            <w:shd w:val="clear" w:color="auto" w:fill="auto"/>
            <w:noWrap w:val="0"/>
            <w:vAlign w:val="center"/>
          </w:tcPr>
          <w:p w14:paraId="015C3614">
            <w:pPr>
              <w:numPr>
                <w:ilvl w:val="-1"/>
                <w:numId w:val="0"/>
              </w:num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1.制定合规政策、合同文本，跟踪法规变动，参与重大合同谈判审核；开展合规审查，提供法律支持，管控重大经营行为风险；</w:t>
            </w:r>
          </w:p>
          <w:p w14:paraId="2E883C07">
            <w:pPr>
              <w:numPr>
                <w:ilvl w:val="-1"/>
                <w:numId w:val="0"/>
              </w:num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2.制定采购制度流程，实施采购计划，管理供应商、谈判合同、控制成本；</w:t>
            </w:r>
          </w:p>
          <w:p w14:paraId="48CED58F">
            <w:pPr>
              <w:numPr>
                <w:ilvl w:val="-1"/>
                <w:numId w:val="0"/>
              </w:num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3.组织招标评审及合同签订，监督采购执行与合规性。</w:t>
            </w:r>
          </w:p>
          <w:p w14:paraId="5DEBF479">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18DAA7A3">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1.从事法律工作3年以上，具有金融类、准金融类、投资类法律从业经历，熟悉经济、建筑、投资类相关法律法规，熟悉金融行业监管政策，具有金融方面知识储备；</w:t>
            </w:r>
          </w:p>
          <w:p w14:paraId="63DB5B4A">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2.取得国家统一法律职业资格或具有国有企业相关岗位、司法机构从业经历者；</w:t>
            </w:r>
          </w:p>
          <w:p w14:paraId="5BD7D691">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3.熟悉国家宏观经济政策、相关法律法规和行业知识，熟悉国资监管和国企改革工作，具有履行岗位职责所必需的专业知识；</w:t>
            </w:r>
          </w:p>
          <w:p w14:paraId="720D4862">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4.具有市、县、区国有企业相关工作经验者或参与光子科创公司组建筹备工作的人员者优先。</w:t>
            </w:r>
          </w:p>
        </w:tc>
      </w:tr>
      <w:tr w14:paraId="11C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90" w:hRule="atLeast"/>
          <w:jc w:val="center"/>
        </w:trPr>
        <w:tc>
          <w:tcPr>
            <w:tcW w:w="688" w:type="dxa"/>
            <w:shd w:val="clear" w:color="auto" w:fill="auto"/>
            <w:noWrap w:val="0"/>
            <w:vAlign w:val="center"/>
          </w:tcPr>
          <w:p w14:paraId="7A3FC444">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E-2</w:t>
            </w:r>
          </w:p>
        </w:tc>
        <w:tc>
          <w:tcPr>
            <w:tcW w:w="579" w:type="dxa"/>
            <w:shd w:val="clear" w:color="auto" w:fill="auto"/>
            <w:noWrap w:val="0"/>
            <w:vAlign w:val="center"/>
          </w:tcPr>
          <w:p w14:paraId="4AEDB48C">
            <w:pPr>
              <w:snapToGrid w:val="0"/>
              <w:jc w:val="center"/>
              <w:rPr>
                <w:rFonts w:hint="eastAsia" w:ascii="仿宋_GB2312" w:hAnsi="仿宋_GB2312" w:eastAsia="仿宋_GB2312" w:cs="仿宋_GB2312"/>
                <w:kern w:val="0"/>
                <w:sz w:val="24"/>
                <w:szCs w:val="24"/>
                <w:vertAlign w:val="baseline"/>
                <w:lang w:val="en-US" w:eastAsia="zh-CN"/>
              </w:rPr>
            </w:pPr>
            <w:r>
              <w:rPr>
                <w:rFonts w:hint="default" w:ascii="仿宋_GB2312" w:hAnsi="仿宋_GB2312" w:eastAsia="仿宋_GB2312" w:cs="仿宋_GB2312"/>
                <w:kern w:val="0"/>
                <w:sz w:val="24"/>
                <w:szCs w:val="24"/>
                <w:vertAlign w:val="baseline"/>
                <w:lang w:val="en-US" w:eastAsia="zh-CN"/>
              </w:rPr>
              <w:t>合规部</w:t>
            </w:r>
          </w:p>
        </w:tc>
        <w:tc>
          <w:tcPr>
            <w:tcW w:w="666" w:type="dxa"/>
            <w:shd w:val="clear" w:color="auto" w:fill="auto"/>
            <w:noWrap w:val="0"/>
            <w:vAlign w:val="center"/>
          </w:tcPr>
          <w:p w14:paraId="0D4F9A0D">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普通职员岗</w:t>
            </w:r>
          </w:p>
        </w:tc>
        <w:tc>
          <w:tcPr>
            <w:tcW w:w="645" w:type="dxa"/>
            <w:shd w:val="clear" w:color="auto" w:fill="auto"/>
            <w:noWrap w:val="0"/>
            <w:vAlign w:val="center"/>
          </w:tcPr>
          <w:p w14:paraId="1DC06875">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w:t>
            </w:r>
          </w:p>
        </w:tc>
        <w:tc>
          <w:tcPr>
            <w:tcW w:w="1039" w:type="dxa"/>
            <w:shd w:val="clear" w:color="auto" w:fill="auto"/>
            <w:noWrap w:val="0"/>
            <w:vAlign w:val="center"/>
          </w:tcPr>
          <w:p w14:paraId="55A5E76F">
            <w:pPr>
              <w:snapToGrid w:val="0"/>
              <w:jc w:val="center"/>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全日制本科及以上学历</w:t>
            </w:r>
          </w:p>
        </w:tc>
        <w:tc>
          <w:tcPr>
            <w:tcW w:w="1215" w:type="dxa"/>
            <w:shd w:val="clear" w:color="auto" w:fill="auto"/>
            <w:noWrap w:val="0"/>
            <w:vAlign w:val="center"/>
          </w:tcPr>
          <w:p w14:paraId="4CC5D020">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法学、经济学、工商管理、工程管理</w:t>
            </w:r>
          </w:p>
        </w:tc>
        <w:tc>
          <w:tcPr>
            <w:tcW w:w="5978" w:type="dxa"/>
            <w:shd w:val="clear" w:color="auto" w:fill="auto"/>
            <w:noWrap w:val="0"/>
            <w:vAlign w:val="center"/>
          </w:tcPr>
          <w:p w14:paraId="03B5E4FD">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1.负责合规审查，制定合规管理制度和流程，参与重大项目合规风险评估，编制合规审查报告；</w:t>
            </w:r>
          </w:p>
          <w:p w14:paraId="5CFA1EDC">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2.监督各部门合规执行情况，协助开展合规风险防控工作；</w:t>
            </w:r>
          </w:p>
          <w:p w14:paraId="06B3955A">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3.负责招标代理项目前期资料收集整理，编制招标文件、组织开标，编制招标报告并归档；</w:t>
            </w:r>
          </w:p>
          <w:p w14:paraId="63B17731">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4.完成领导交办的其他工作。</w:t>
            </w:r>
          </w:p>
        </w:tc>
        <w:tc>
          <w:tcPr>
            <w:tcW w:w="4377" w:type="dxa"/>
            <w:shd w:val="clear" w:color="auto" w:fill="auto"/>
            <w:noWrap w:val="0"/>
            <w:vAlign w:val="center"/>
          </w:tcPr>
          <w:p w14:paraId="3922670E">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1.熟悉法律法规和合规管理流程，具备合规审查相关工作经验；</w:t>
            </w:r>
          </w:p>
          <w:p w14:paraId="7E0C49E1">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2.具备良好的沟通能力和团队协作精神，较强的风险识别和评估能力；</w:t>
            </w:r>
          </w:p>
          <w:p w14:paraId="557190B6">
            <w:pPr>
              <w:snapToGrid w:val="0"/>
              <w:jc w:val="left"/>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3.熟悉招投标流程、操作规范及相关政策文件；</w:t>
            </w:r>
          </w:p>
          <w:p w14:paraId="1644262D">
            <w:pPr>
              <w:snapToGrid w:val="0"/>
              <w:jc w:val="left"/>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4.具有市、县、区国有企业相关工作经验或者参与光子科创公司组建筹备工作的人员优先。</w:t>
            </w:r>
          </w:p>
        </w:tc>
      </w:tr>
    </w:tbl>
    <w:p w14:paraId="398AA6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32"/>
          <w:szCs w:val="32"/>
        </w:rPr>
      </w:pPr>
    </w:p>
    <w:p w14:paraId="0CE2E0F9">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eastAsia" w:ascii="黑体" w:hAnsi="黑体" w:eastAsia="黑体" w:cs="黑体"/>
          <w:color w:val="000000"/>
          <w:kern w:val="0"/>
          <w:sz w:val="32"/>
          <w:szCs w:val="32"/>
        </w:rPr>
        <w:sectPr>
          <w:headerReference r:id="rId3" w:type="default"/>
          <w:footerReference r:id="rId4" w:type="default"/>
          <w:pgSz w:w="16838" w:h="11905" w:orient="landscape"/>
          <w:pgMar w:top="1531" w:right="1417" w:bottom="1134" w:left="1361" w:header="340" w:footer="454" w:gutter="0"/>
          <w:pgNumType w:fmt="decimal"/>
          <w:cols w:space="720" w:num="1"/>
          <w:rtlGutter w:val="0"/>
          <w:docGrid w:type="lines" w:linePitch="312" w:charSpace="0"/>
        </w:sectPr>
      </w:pPr>
    </w:p>
    <w:p w14:paraId="5089F9B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5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A94E4">
                          <w:pPr>
                            <w:pStyle w:val="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E3A94E4">
                    <w:pPr>
                      <w:pStyle w:val="2"/>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869909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C5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52860"/>
    <w:rsid w:val="3C15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2025-09-24T07:02:00Z</dcterms:created>
  <dc:creator>一二三四五六七</dc:creator>
  <cp:lastModifiedBy>一二三四五六七</cp:lastModifiedBy>
  <dcterms:modified xsi:type="dcterms:W3CDTF">2025-09-24T07:02:52Z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551213AE717D40849B78031DCD93B1FB_11</vt:lpwstr>
  </property>
  <property fmtid="{D5CDD505-2E9C-101B-9397-08002B2CF9AE}" pid="4" name="KSOTemplateDocerSaveRecord">
    <vt:lpwstr>eyJoZGlkIjoiMDE3Mjc1Y2U5NTM0OGM1YmRiZTc3YmEzZDVkM2ZjMGMiLCJ1c2VySWQiOiIzMjAxODc0NTcifQ==</vt:lpwstr>
  </property>
</Properties>
</file>