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pageBreakBefore w:val="0"/>
        <w:widowControl w:val="0"/>
        <w:bidi w:val="0"/>
        <w:spacing w:line="560" w:lineRule="exact"/>
        <w:jc w:val="left"/>
        <w:rPr>
          <w:rFonts w:ascii="Times New Roman" w:eastAsia="方正黑体_GBK" w:hAnsi="Times New Roman"/>
          <w:snapToGrid w:val="0"/>
          <w:sz w:val="32"/>
          <w:szCs w:val="32"/>
        </w:rPr>
      </w:pPr>
      <w:bookmarkStart w:id="0" w:name="_GoBack"/>
      <w:bookmarkEnd w:id="0"/>
      <w:r>
        <w:rPr>
          <w:rFonts w:ascii="Times New Roman" w:eastAsia="方正黑体_GBK" w:hAnsi="Times New Roman"/>
          <w:snapToGrid w:val="0"/>
          <w:sz w:val="32"/>
          <w:szCs w:val="32"/>
        </w:rPr>
        <w:t>附件2</w:t>
      </w:r>
    </w:p>
    <w:p>
      <w:pPr>
        <w:keepNext w:val="0"/>
        <w:pageBreakBefore w:val="0"/>
        <w:widowControl w:val="0"/>
        <w:bidi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报考须知</w:t>
      </w:r>
    </w:p>
    <w:p>
      <w:pPr>
        <w:keepNext w:val="0"/>
        <w:pageBreakBefore w:val="0"/>
        <w:widowControl w:val="0"/>
        <w:bidi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一、网上填写报名信息时应注意什么？</w:t>
      </w:r>
    </w:p>
    <w:p>
      <w:pPr>
        <w:keepNext w:val="0"/>
        <w:pageBreakBefore w:val="0"/>
        <w:widowControl w:val="0"/>
        <w:bidi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pageBreakBefore w:val="0"/>
        <w:widowControl w:val="0"/>
        <w:bidi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keepNext w:val="0"/>
        <w:pageBreakBefore w:val="0"/>
        <w:widowControl w:val="0"/>
        <w:bidi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家庭成员及其主要社会关系，须填写姓名、工作单位及职务。学习和工作（待业）经历须从高中阶段起填写至报名时止，不得间断。</w:t>
      </w:r>
    </w:p>
    <w:p>
      <w:pPr>
        <w:keepNext w:val="0"/>
        <w:pageBreakBefore w:val="0"/>
        <w:widowControl w:val="0"/>
        <w:bidi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pageBreakBefore w:val="0"/>
        <w:widowControl w:val="0"/>
        <w:bidi w:val="0"/>
        <w:spacing w:line="560" w:lineRule="exact"/>
        <w:ind w:left="0" w:firstLine="613"/>
        <w:rPr>
          <w:rFonts w:ascii="Times New Roman" w:eastAsia="黑体" w:hAnsi="Times New Roman"/>
          <w:sz w:val="32"/>
          <w:szCs w:val="32"/>
        </w:rPr>
      </w:pPr>
      <w:r>
        <w:rPr>
          <w:rFonts w:ascii="Times New Roman" w:eastAsia="黑体" w:hAnsi="Times New Roman"/>
          <w:sz w:val="32"/>
          <w:szCs w:val="32"/>
        </w:rPr>
        <w:t>二、基层工作经历如何界定？</w:t>
      </w:r>
    </w:p>
    <w:p>
      <w:pPr>
        <w:keepNext w:val="0"/>
        <w:pageBreakBefore w:val="0"/>
        <w:widowControl w:val="0"/>
        <w:bidi w:val="0"/>
        <w:spacing w:line="560" w:lineRule="exact"/>
        <w:ind w:left="0" w:firstLine="613"/>
        <w:rPr>
          <w:rFonts w:ascii="Times New Roman" w:eastAsia="CESI楷体-GB2312" w:hAnsi="Times New Roman"/>
          <w:sz w:val="32"/>
          <w:szCs w:val="32"/>
        </w:rPr>
      </w:pPr>
      <w:r>
        <w:rPr>
          <w:rFonts w:ascii="Times New Roman" w:eastAsia="CESI楷体-GB2312" w:hAnsi="Times New Roman"/>
          <w:sz w:val="32"/>
          <w:szCs w:val="32"/>
        </w:rPr>
        <w:t>（一）什么是基层工作经历？</w:t>
      </w:r>
    </w:p>
    <w:p>
      <w:pPr>
        <w:keepNext w:val="0"/>
        <w:pageBreakBefore w:val="0"/>
        <w:widowControl w:val="0"/>
        <w:bidi w:val="0"/>
        <w:spacing w:line="560" w:lineRule="exact"/>
        <w:ind w:left="0" w:firstLine="613"/>
        <w:rPr>
          <w:rFonts w:ascii="Times New Roman" w:eastAsia="仿宋_GB2312" w:hAnsi="Times New Roman"/>
          <w:sz w:val="32"/>
          <w:szCs w:val="32"/>
        </w:rPr>
      </w:pPr>
      <w:r>
        <w:rPr>
          <w:rFonts w:ascii="Times New Roman" w:eastAsia="仿宋_GB2312" w:hAnsi="Times New Roman"/>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高校毕业生在校读书期间的社会实践经历，不能视为基层工作经历。</w:t>
      </w:r>
    </w:p>
    <w:p>
      <w:pPr>
        <w:keepNext w:val="0"/>
        <w:pageBreakBefore w:val="0"/>
        <w:widowControl w:val="0"/>
        <w:bidi w:val="0"/>
        <w:spacing w:line="560" w:lineRule="exact"/>
        <w:ind w:firstLine="613"/>
        <w:rPr>
          <w:rFonts w:ascii="Times New Roman" w:eastAsia="CESI楷体-GB2312" w:hAnsi="Times New Roman"/>
          <w:sz w:val="32"/>
          <w:szCs w:val="32"/>
        </w:rPr>
      </w:pPr>
      <w:r>
        <w:rPr>
          <w:rFonts w:ascii="Times New Roman" w:eastAsia="CESI楷体-GB2312" w:hAnsi="Times New Roman"/>
          <w:sz w:val="32"/>
          <w:szCs w:val="32"/>
        </w:rPr>
        <w:t>（二）基层工作经历起始时间如何界定？</w:t>
      </w:r>
    </w:p>
    <w:p>
      <w:pPr>
        <w:keepNext w:val="0"/>
        <w:pageBreakBefore w:val="0"/>
        <w:widowControl w:val="0"/>
        <w:bidi w:val="0"/>
        <w:spacing w:line="560" w:lineRule="exact"/>
        <w:ind w:left="0" w:firstLine="613"/>
        <w:rPr>
          <w:rFonts w:ascii="Times New Roman" w:eastAsia="仿宋_GB2312" w:hAnsi="Times New Roman"/>
          <w:sz w:val="32"/>
          <w:szCs w:val="32"/>
        </w:rPr>
      </w:pPr>
      <w:r>
        <w:rPr>
          <w:rFonts w:ascii="Times New Roman" w:eastAsia="仿宋_GB2312" w:hAnsi="Times New Roman"/>
          <w:sz w:val="32"/>
          <w:szCs w:val="32"/>
        </w:rPr>
        <w:t>1.在基层党政机关、事业单位，国有企业工作的人员，基层工作经历时间自报到之日算起。</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2.参加“大学生村官”、“三支一扶”、“大学生志愿服务西部计划”、“农村义务教育阶段学校教师特设岗位计划”等中央和地方基层就业项目人员，基层工作经历时间自报到之日算起。</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3.到基层特定公益岗位（社会管理和公共服务）初次就业的人员，基层工作经历时间从工作协议约定的起始时间算起。</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4.离校未就业高校毕业生到高校毕业生实习见习基地（该基地为基层单位）参加见习或者到企事业单位参与项目研究的，视同具有基层工作经历，自报到之日算起。</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5.在其他经济组织、社会组织等单位工作的人员，基层工作经历时间以劳动合同约定的起始时间算起。</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6.自主创业并办理工商注册手续的人员，其基层工作经历时间自营业执照颁发之日算起。</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7.以灵活就业形式初次就业人员，其基层工作经历时间从登记灵活就业并经审批确认的起始时间算起。</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8.在各级机关事业单位工作的编外人员，其基层工作经历时间自报到之日算起。</w:t>
      </w:r>
    </w:p>
    <w:p>
      <w:pPr>
        <w:keepNext w:val="0"/>
        <w:pageBreakBefore w:val="0"/>
        <w:widowControl w:val="0"/>
        <w:bidi w:val="0"/>
        <w:spacing w:line="560" w:lineRule="exact"/>
        <w:ind w:firstLine="613"/>
        <w:rPr>
          <w:rFonts w:ascii="Times New Roman" w:eastAsia="CESI楷体-GB2312" w:hAnsi="Times New Roman"/>
          <w:sz w:val="32"/>
          <w:szCs w:val="32"/>
        </w:rPr>
      </w:pPr>
      <w:r>
        <w:rPr>
          <w:rFonts w:ascii="Times New Roman" w:eastAsia="CESI楷体-GB2312" w:hAnsi="Times New Roman"/>
          <w:sz w:val="32"/>
          <w:szCs w:val="32"/>
        </w:rPr>
        <w:t>（三）基层工作经历截止时间如何界定？</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基层工作经历计算时间截止本次公开招聘报名最后一日。</w:t>
      </w:r>
    </w:p>
    <w:p>
      <w:pPr>
        <w:keepNext w:val="0"/>
        <w:pageBreakBefore w:val="0"/>
        <w:widowControl w:val="0"/>
        <w:bidi w:val="0"/>
        <w:spacing w:line="560" w:lineRule="exact"/>
        <w:ind w:firstLine="613"/>
        <w:rPr>
          <w:rFonts w:ascii="Times New Roman" w:eastAsia="CESI楷体-GB2312" w:hAnsi="Times New Roman"/>
          <w:sz w:val="32"/>
          <w:szCs w:val="32"/>
        </w:rPr>
      </w:pPr>
      <w:r>
        <w:rPr>
          <w:rFonts w:ascii="Times New Roman" w:eastAsia="CESI楷体-GB2312" w:hAnsi="Times New Roman"/>
          <w:sz w:val="32"/>
          <w:szCs w:val="32"/>
        </w:rPr>
        <w:t>（四）基层工作经历认定的操作原则？</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1.基层工作经历的证明材料由报考人员自行申报提交。</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2.报考人员对提交的证明材料真实性负责，凡被举报查实证明材料弄虚作假的，按规定取消本次应聘资格或予以辞聘、清退。</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3.基层工作经历的时间可按月累计，合计服务时间满24个月，视为具有两年基层工作经历。</w:t>
      </w:r>
    </w:p>
    <w:p>
      <w:pPr>
        <w:keepNext w:val="0"/>
        <w:pageBreakBefore w:val="0"/>
        <w:widowControl w:val="0"/>
        <w:bidi w:val="0"/>
        <w:spacing w:line="560" w:lineRule="exact"/>
        <w:ind w:firstLine="613"/>
        <w:rPr>
          <w:rFonts w:ascii="Times New Roman" w:eastAsia="黑体" w:hAnsi="Times New Roman"/>
          <w:sz w:val="32"/>
          <w:szCs w:val="32"/>
        </w:rPr>
      </w:pPr>
      <w:r>
        <w:rPr>
          <w:rFonts w:ascii="Times New Roman" w:eastAsia="黑体" w:hAnsi="Times New Roman"/>
          <w:sz w:val="32"/>
          <w:szCs w:val="32"/>
        </w:rPr>
        <w:t>三、专业如何认定？</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专业要求中的大学专科、本科、研究生专业参考目录主要为教育部印发的《职业教育专业目录（2021年）》《国家普通高等学校本科专业目录（2024年）》《研究生教育学科专业目录（2022年）》。</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或省及以上相关科研机构等第三方，结合所学课程、研究方向等对其留学所学专业进行认定，认定为相似专业的视为专业条件合格。</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国内非普通高等学历教育的其他国民教育形式（自学考试、成人教育、网络教育、夜大、电大等）毕业生取得毕业证（学位证）后，符合岗位要求资格条件的，均可应聘。</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如果考生毕业证或学位证上的专业名称是一级学科（专业类）,而招聘公告设置的专业条件是二级学科（专业）的,则以考生所在高校出具的证明材料进行综合认定。</w:t>
      </w:r>
    </w:p>
    <w:p>
      <w:pPr>
        <w:keepNext w:val="0"/>
        <w:pageBreakBefore w:val="0"/>
        <w:widowControl w:val="0"/>
        <w:bidi w:val="0"/>
        <w:spacing w:line="560" w:lineRule="exact"/>
        <w:ind w:firstLine="613"/>
        <w:rPr>
          <w:rFonts w:ascii="Times New Roman" w:eastAsia="黑体" w:hAnsi="Times New Roman"/>
          <w:sz w:val="32"/>
          <w:szCs w:val="32"/>
        </w:rPr>
      </w:pPr>
      <w:r>
        <w:rPr>
          <w:rFonts w:ascii="Times New Roman" w:eastAsia="黑体" w:hAnsi="Times New Roman"/>
          <w:sz w:val="32"/>
          <w:szCs w:val="32"/>
        </w:rPr>
        <w:t>四、本次招聘中要求的有效身份证件指的是什么？</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keepNext w:val="0"/>
        <w:pageBreakBefore w:val="0"/>
        <w:widowControl w:val="0"/>
        <w:bidi w:val="0"/>
        <w:spacing w:line="560" w:lineRule="exact"/>
        <w:ind w:left="0" w:firstLine="613"/>
        <w:rPr>
          <w:rFonts w:ascii="Times New Roman" w:eastAsia="仿宋_GB2312" w:hAnsi="Times New Roman"/>
          <w:sz w:val="32"/>
          <w:szCs w:val="32"/>
        </w:rPr>
      </w:pPr>
      <w:r>
        <w:rPr>
          <w:rFonts w:ascii="Times New Roman" w:eastAsia="仿宋_GB2312" w:hAnsi="Times New Roman"/>
          <w:sz w:val="32"/>
          <w:szCs w:val="32"/>
        </w:rPr>
        <w:t>请考生妥善保管本人有效居民身份证件，过期或丢失的，请务必在考前及时到公安机关换领或补办。</w:t>
      </w:r>
    </w:p>
    <w:p>
      <w:pPr>
        <w:keepNext w:val="0"/>
        <w:pageBreakBefore w:val="0"/>
        <w:widowControl w:val="0"/>
        <w:bidi w:val="0"/>
        <w:spacing w:line="560" w:lineRule="exact"/>
        <w:ind w:firstLine="613"/>
        <w:rPr>
          <w:rFonts w:ascii="Times New Roman" w:eastAsia="黑体" w:hAnsi="Times New Roman"/>
          <w:sz w:val="32"/>
          <w:szCs w:val="32"/>
        </w:rPr>
      </w:pPr>
      <w:r>
        <w:rPr>
          <w:rFonts w:ascii="Times New Roman" w:eastAsia="黑体" w:hAnsi="Times New Roman"/>
          <w:sz w:val="32"/>
          <w:szCs w:val="32"/>
        </w:rPr>
        <w:t>五、本次招聘中政策性加分如何办理？</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keepNext w:val="0"/>
        <w:pageBreakBefore w:val="0"/>
        <w:widowControl w:val="0"/>
        <w:kinsoku/>
        <w:wordWrap w:val="0"/>
        <w:overflowPunct/>
        <w:topLinePunct w:val="0"/>
        <w:autoSpaceDE/>
        <w:autoSpaceDN/>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符合加分政策规定的应聘人员，在笔试总成绩（与面试成绩按比例折合前）中加分，不同加分项目可累计计算，最高不超过6分。</w:t>
      </w:r>
    </w:p>
    <w:p>
      <w:pPr>
        <w:keepNext w:val="0"/>
        <w:pageBreakBefore w:val="0"/>
        <w:widowControl w:val="0"/>
        <w:bidi w:val="0"/>
        <w:spacing w:line="560" w:lineRule="exact"/>
        <w:ind w:firstLine="613"/>
        <w:rPr>
          <w:rFonts w:ascii="Times New Roman" w:eastAsia="仿宋_GB2312" w:hAnsi="Times New Roman" w:hint="eastAsia"/>
          <w:sz w:val="32"/>
          <w:szCs w:val="32"/>
          <w:lang w:eastAsia="zh-CN"/>
        </w:rPr>
      </w:pPr>
      <w:r>
        <w:rPr>
          <w:rFonts w:ascii="Times New Roman" w:eastAsia="仿宋_GB2312" w:hAnsi="Times New Roman"/>
          <w:sz w:val="32"/>
          <w:szCs w:val="32"/>
        </w:rPr>
        <w:t>符合加分政策规定的应聘人员需提供以下材料</w:t>
      </w:r>
      <w:r>
        <w:rPr>
          <w:rFonts w:ascii="Times New Roman" w:eastAsia="仿宋_GB2312" w:hAnsi="Times New Roman" w:hint="eastAsia"/>
          <w:sz w:val="32"/>
          <w:szCs w:val="32"/>
          <w:lang w:eastAsia="zh-CN"/>
        </w:rPr>
        <w:t>:</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1.“大学生志愿服务西部计划”“三支一扶”计划、“特岗教师计划”“应急岗位”“公卫特别岗”人员</w:t>
      </w:r>
      <w:r>
        <w:rPr>
          <w:rFonts w:ascii="Times New Roman" w:eastAsia="仿宋_GB2312" w:hAnsi="Times New Roman" w:hint="eastAsia"/>
          <w:sz w:val="32"/>
          <w:szCs w:val="32"/>
          <w:lang w:eastAsia="zh-CN"/>
        </w:rPr>
        <w:t>:</w:t>
      </w:r>
      <w:r>
        <w:rPr>
          <w:rFonts w:ascii="Times New Roman" w:eastAsia="仿宋_GB2312" w:hAnsi="Times New Roman"/>
          <w:sz w:val="32"/>
          <w:szCs w:val="32"/>
        </w:rPr>
        <w:t>服务所在地县以上团委（或人社局、教育局、卫生健康委）出具的证明、考核材料、服务合同（协议）和服务证书等材料原件及复印件。</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2.申请加分的退役大学生士兵，须提供本人有效的《退出现役证》《优秀士兵证》《优秀士官证》《优秀义务兵证》《优秀学员证》等有关奖励证书（证章）和专科及以上毕业证等材料原件及复印件。</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机关事业单位在编人员以及从机关事业单位辞职、辞退、辞聘、解聘等人员，不享受加分政策。</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特别说明</w:t>
      </w:r>
      <w:r>
        <w:rPr>
          <w:rFonts w:ascii="Times New Roman" w:eastAsia="仿宋_GB2312" w:hAnsi="Times New Roman" w:hint="eastAsia"/>
          <w:sz w:val="32"/>
          <w:szCs w:val="32"/>
          <w:lang w:eastAsia="zh-CN"/>
        </w:rPr>
        <w:t>:</w:t>
      </w:r>
      <w:r>
        <w:rPr>
          <w:rFonts w:ascii="Times New Roman" w:eastAsia="仿宋_GB2312" w:hAnsi="Times New Roman"/>
          <w:sz w:val="32"/>
          <w:szCs w:val="32"/>
        </w:rPr>
        <w:t>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pPr>
        <w:keepNext w:val="0"/>
        <w:pageBreakBefore w:val="0"/>
        <w:widowControl w:val="0"/>
        <w:bidi w:val="0"/>
        <w:spacing w:line="560" w:lineRule="exact"/>
        <w:ind w:firstLine="613"/>
        <w:rPr>
          <w:rFonts w:ascii="Times New Roman" w:eastAsia="黑体" w:hAnsi="Times New Roman"/>
          <w:sz w:val="32"/>
          <w:szCs w:val="32"/>
        </w:rPr>
      </w:pPr>
      <w:r>
        <w:rPr>
          <w:rFonts w:ascii="Times New Roman" w:eastAsia="黑体" w:hAnsi="Times New Roman"/>
          <w:sz w:val="32"/>
          <w:szCs w:val="32"/>
        </w:rPr>
        <w:t>六、本次招聘中需提供哪些面试资格审查材料？</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1.《报考信息表》2份（请在四川省人力资源和社会保障厅官网“人事考试”专栏自行打印并按要求张贴近期2寸免冠证件照片）；</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2.身份证原件和复印件1份；</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3.有效的学位证（有学位要求的，下同）、毕业证原件和复印件1份。</w:t>
      </w:r>
    </w:p>
    <w:p>
      <w:pPr>
        <w:keepNext w:val="0"/>
        <w:pageBreakBefore w:val="0"/>
        <w:widowControl w:val="0"/>
        <w:topLinePunct/>
        <w:autoSpaceDE/>
        <w:autoSpaceDN/>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其中，参加面试资格审查时，2026年高校应届毕业生尚未取得毕业证和学位证的，需提供学生证原件及复印件1份，学校主管毕业生就业工作部门开具的就读院系及专业等情况的证明原件。</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4.其他与报考资格相关的材料。</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5.留学归国人员应持国家教育部留学服务中心认证学历、学位参加资格审查。</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黑体" w:hAnsi="Times New Roman"/>
          <w:sz w:val="32"/>
          <w:szCs w:val="32"/>
        </w:rPr>
        <w:t>七、违纪违规及存在不诚信情形的应聘人员如何处理？</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keepNext w:val="0"/>
        <w:pageBreakBefore w:val="0"/>
        <w:widowControl w:val="0"/>
        <w:bidi w:val="0"/>
        <w:spacing w:line="560" w:lineRule="exact"/>
        <w:ind w:firstLine="613"/>
        <w:rPr>
          <w:rFonts w:ascii="Times New Roman" w:eastAsia="黑体" w:hAnsi="Times New Roman"/>
          <w:sz w:val="32"/>
          <w:szCs w:val="32"/>
        </w:rPr>
      </w:pPr>
      <w:r>
        <w:rPr>
          <w:rFonts w:ascii="Times New Roman" w:eastAsia="黑体" w:hAnsi="Times New Roman"/>
          <w:sz w:val="32"/>
          <w:szCs w:val="32"/>
        </w:rPr>
        <w:t>八、申请减免报考费用办理手续</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1.适用人员</w:t>
      </w:r>
      <w:r>
        <w:rPr>
          <w:rFonts w:ascii="Times New Roman" w:eastAsia="仿宋_GB2312" w:hAnsi="Times New Roman" w:hint="eastAsia"/>
          <w:sz w:val="32"/>
          <w:szCs w:val="32"/>
          <w:lang w:eastAsia="zh-CN"/>
        </w:rPr>
        <w:t>:</w:t>
      </w:r>
      <w:r>
        <w:rPr>
          <w:rFonts w:ascii="Times New Roman" w:eastAsia="仿宋_GB2312" w:hAnsi="Times New Roman"/>
          <w:sz w:val="32"/>
          <w:szCs w:val="32"/>
        </w:rPr>
        <w:t>享受国家最低生活保障金的城镇、农村家庭考生；脱贫户家庭考生；父母双亡、父母一方为烈士或一级伤残军人，且生活十分困难家庭考生。</w:t>
      </w:r>
    </w:p>
    <w:p>
      <w:pPr>
        <w:keepNext w:val="0"/>
        <w:pageBreakBefore w:val="0"/>
        <w:widowControl w:val="0"/>
        <w:bidi w:val="0"/>
        <w:spacing w:line="560" w:lineRule="exact"/>
        <w:ind w:left="0" w:firstLine="613"/>
        <w:rPr>
          <w:rFonts w:ascii="Times New Roman" w:eastAsia="仿宋_GB2312" w:hAnsi="Times New Roman"/>
          <w:sz w:val="32"/>
          <w:szCs w:val="32"/>
        </w:rPr>
      </w:pPr>
      <w:r>
        <w:rPr>
          <w:rFonts w:ascii="Times New Roman" w:eastAsia="仿宋_GB2312" w:hAnsi="Times New Roman"/>
          <w:sz w:val="32"/>
          <w:szCs w:val="32"/>
        </w:rPr>
        <w:t>2.办理地点</w:t>
      </w:r>
      <w:r>
        <w:rPr>
          <w:rFonts w:ascii="Times New Roman" w:eastAsia="仿宋_GB2312" w:hAnsi="Times New Roman" w:hint="eastAsia"/>
          <w:sz w:val="32"/>
          <w:szCs w:val="32"/>
          <w:lang w:eastAsia="zh-CN"/>
        </w:rPr>
        <w:t>:</w:t>
      </w:r>
      <w:r>
        <w:rPr>
          <w:rFonts w:ascii="Times New Roman" w:eastAsia="仿宋_GB2312" w:hAnsi="Times New Roman"/>
          <w:sz w:val="32"/>
          <w:szCs w:val="32"/>
        </w:rPr>
        <w:t>四川省人事人才考试测评基地（成都市成华区双林路346号4楼，联系电话</w:t>
      </w:r>
      <w:r>
        <w:rPr>
          <w:rFonts w:ascii="Times New Roman" w:eastAsia="仿宋_GB2312" w:hAnsi="Times New Roman" w:hint="eastAsia"/>
          <w:sz w:val="32"/>
          <w:szCs w:val="32"/>
          <w:lang w:eastAsia="zh-CN"/>
        </w:rPr>
        <w:t>:</w:t>
      </w:r>
      <w:r>
        <w:rPr>
          <w:rFonts w:ascii="Times New Roman" w:eastAsia="仿宋_GB2312" w:hAnsi="Times New Roman"/>
          <w:sz w:val="32"/>
          <w:szCs w:val="32"/>
        </w:rPr>
        <w:t>028-86740101，028-86759175）。</w:t>
      </w:r>
    </w:p>
    <w:p>
      <w:pPr>
        <w:keepNext w:val="0"/>
        <w:pageBreakBefore w:val="0"/>
        <w:widowControl w:val="0"/>
        <w:bidi w:val="0"/>
        <w:spacing w:line="560" w:lineRule="exact"/>
        <w:ind w:left="0" w:firstLine="613"/>
        <w:rPr>
          <w:rFonts w:ascii="Times New Roman" w:eastAsia="仿宋_GB2312" w:hAnsi="Times New Roman"/>
          <w:sz w:val="32"/>
          <w:szCs w:val="32"/>
        </w:rPr>
      </w:pPr>
      <w:r>
        <w:rPr>
          <w:rFonts w:ascii="Times New Roman" w:eastAsia="仿宋_GB2312" w:hAnsi="Times New Roman"/>
          <w:sz w:val="32"/>
          <w:szCs w:val="32"/>
        </w:rPr>
        <w:t>3.办理时间</w:t>
      </w:r>
      <w:r>
        <w:rPr>
          <w:rFonts w:ascii="Times New Roman" w:eastAsia="仿宋_GB2312" w:hAnsi="Times New Roman" w:hint="eastAsia"/>
          <w:sz w:val="32"/>
          <w:szCs w:val="32"/>
          <w:lang w:eastAsia="zh-CN"/>
        </w:rPr>
        <w:t>:</w:t>
      </w:r>
      <w:r>
        <w:rPr>
          <w:rFonts w:ascii="Times New Roman" w:eastAsia="仿宋_GB2312" w:hAnsi="Times New Roman"/>
          <w:sz w:val="32"/>
          <w:szCs w:val="32"/>
        </w:rPr>
        <w:t>2025年10月13日</w:t>
      </w:r>
      <w:r>
        <w:rPr>
          <w:rFonts w:ascii="Times New Roman" w:eastAsia="仿宋_GB2312" w:hAnsi="Times New Roman" w:hint="eastAsia"/>
          <w:sz w:val="32"/>
          <w:szCs w:val="32"/>
          <w:lang w:eastAsia="zh-CN"/>
        </w:rPr>
        <w:t>—</w:t>
      </w:r>
      <w:r>
        <w:rPr>
          <w:rFonts w:ascii="Times New Roman" w:eastAsia="仿宋_GB2312" w:hAnsi="Times New Roman"/>
          <w:sz w:val="32"/>
          <w:szCs w:val="32"/>
        </w:rPr>
        <w:t>10月17日（工作日每日9点</w:t>
      </w:r>
      <w:r>
        <w:rPr>
          <w:rFonts w:ascii="Times New Roman" w:eastAsia="仿宋_GB2312" w:hAnsi="Times New Roman" w:hint="eastAsia"/>
          <w:sz w:val="32"/>
          <w:szCs w:val="32"/>
          <w:lang w:eastAsia="zh-CN"/>
        </w:rPr>
        <w:t>—</w:t>
      </w:r>
      <w:r>
        <w:rPr>
          <w:rFonts w:ascii="Times New Roman" w:eastAsia="仿宋_GB2312" w:hAnsi="Times New Roman"/>
          <w:sz w:val="32"/>
          <w:szCs w:val="32"/>
        </w:rPr>
        <w:t>17点），17日17点以后提交材料或者提供材料不符合相关要求的不做减免处理。</w:t>
      </w:r>
    </w:p>
    <w:p>
      <w:pPr>
        <w:keepNext w:val="0"/>
        <w:pageBreakBefore w:val="0"/>
        <w:widowControl w:val="0"/>
        <w:bidi w:val="0"/>
        <w:spacing w:line="560" w:lineRule="exact"/>
        <w:ind w:firstLine="613"/>
        <w:rPr>
          <w:rFonts w:ascii="Times New Roman" w:eastAsia="仿宋_GB2312" w:hAnsi="Times New Roman" w:hint="eastAsia"/>
          <w:sz w:val="32"/>
          <w:szCs w:val="32"/>
          <w:lang w:eastAsia="zh-CN"/>
        </w:rPr>
      </w:pPr>
      <w:r>
        <w:rPr>
          <w:rFonts w:ascii="Times New Roman" w:eastAsia="仿宋_GB2312" w:hAnsi="Times New Roman"/>
          <w:sz w:val="32"/>
          <w:szCs w:val="32"/>
        </w:rPr>
        <w:t>4.所需材料</w:t>
      </w:r>
      <w:r>
        <w:rPr>
          <w:rFonts w:ascii="Times New Roman" w:eastAsia="仿宋_GB2312" w:hAnsi="Times New Roman" w:hint="eastAsia"/>
          <w:sz w:val="32"/>
          <w:szCs w:val="32"/>
          <w:lang w:eastAsia="zh-CN"/>
        </w:rPr>
        <w:t>:</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（2）脱贫户家庭考生，凭乡（镇）政府、街道办事处和学校学生处出具的原农村建档立卡贫困户证明、特殊困难证明；</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pPr>
        <w:keepNext w:val="0"/>
        <w:pageBreakBefore w:val="0"/>
        <w:widowControl w:val="0"/>
        <w:bidi w:val="0"/>
        <w:spacing w:line="560" w:lineRule="exact"/>
        <w:ind w:firstLine="613"/>
        <w:rPr>
          <w:rFonts w:ascii="Times New Roman" w:eastAsia="仿宋_GB2312" w:hAnsi="Times New Roman" w:hint="eastAsia"/>
          <w:sz w:val="32"/>
          <w:szCs w:val="32"/>
          <w:lang w:eastAsia="zh-CN"/>
        </w:rPr>
      </w:pPr>
      <w:r>
        <w:rPr>
          <w:rFonts w:ascii="Times New Roman" w:eastAsia="仿宋_GB2312" w:hAnsi="Times New Roman"/>
          <w:sz w:val="32"/>
          <w:szCs w:val="32"/>
        </w:rPr>
        <w:t>5.办理程序</w:t>
      </w:r>
      <w:r>
        <w:rPr>
          <w:rFonts w:ascii="Times New Roman" w:eastAsia="仿宋_GB2312" w:hAnsi="Times New Roman" w:hint="eastAsia"/>
          <w:sz w:val="32"/>
          <w:szCs w:val="32"/>
          <w:lang w:eastAsia="zh-CN"/>
        </w:rPr>
        <w:t>:</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（1）首先在网上完成报名并缴纳报名费用，申请减免通过后予以退费。</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（2）报考人员可到现场办理减免报考费用的手续。不方便到现场办理的人员，须拨打联系电话（028-86759175），通过传真或邮箱上传减免所需材料，经审核确认后办理减免手续。</w:t>
      </w:r>
    </w:p>
    <w:p>
      <w:pPr>
        <w:keepNext w:val="0"/>
        <w:pageBreakBefore w:val="0"/>
        <w:widowControl w:val="0"/>
        <w:bidi w:val="0"/>
        <w:spacing w:line="560" w:lineRule="exact"/>
        <w:ind w:firstLine="613"/>
        <w:rPr>
          <w:rFonts w:ascii="Times New Roman" w:eastAsia="黑体" w:hAnsi="Times New Roman"/>
          <w:sz w:val="32"/>
          <w:szCs w:val="32"/>
        </w:rPr>
      </w:pPr>
      <w:r>
        <w:rPr>
          <w:rFonts w:ascii="Times New Roman" w:eastAsia="黑体" w:hAnsi="Times New Roman"/>
          <w:sz w:val="32"/>
          <w:szCs w:val="32"/>
        </w:rPr>
        <w:t>九、其他</w:t>
      </w:r>
    </w:p>
    <w:p>
      <w:pPr>
        <w:keepNext w:val="0"/>
        <w:pageBreakBefore w:val="0"/>
        <w:widowControl w:val="0"/>
        <w:bidi w:val="0"/>
        <w:spacing w:line="560" w:lineRule="exact"/>
        <w:ind w:firstLine="613"/>
        <w:rPr>
          <w:rFonts w:ascii="Times New Roman" w:eastAsia="仿宋_GB2312" w:hAnsi="Times New Roman"/>
          <w:sz w:val="32"/>
          <w:szCs w:val="32"/>
        </w:rPr>
      </w:pPr>
      <w:r>
        <w:rPr>
          <w:rFonts w:ascii="Times New Roman" w:eastAsia="仿宋_GB2312" w:hAnsi="Times New Roman"/>
          <w:sz w:val="32"/>
          <w:szCs w:val="32"/>
        </w:rPr>
        <w:t>本次招聘公告中所指“以上”“以下”“以前”“以后”均包含本级（数），如2年以上工作经历，指工作经历满2年；招聘公告中涉及的时间节点，除明确规定外，均以公告报名最后一日为截止日。</w:t>
      </w:r>
    </w:p>
    <w:p>
      <w:pPr>
        <w:keepNext w:val="0"/>
        <w:pageBreakBefore w:val="0"/>
        <w:widowControl w:val="0"/>
        <w:bidi w:val="0"/>
        <w:spacing w:line="240" w:lineRule="exact"/>
        <w:ind w:firstLine="613"/>
        <w:rPr>
          <w:rFonts w:ascii="Times New Roman" w:eastAsia="方正公文仿宋" w:hAnsi="Times New Roman"/>
          <w:snapToGrid w:val="0"/>
          <w:kern w:val="0"/>
          <w:sz w:val="22"/>
          <w:szCs w:val="48"/>
        </w:rPr>
      </w:pPr>
    </w:p>
    <w:sectPr>
      <w:footerReference w:type="default" r:id="rId2"/>
      <w:footerReference w:type="even" r:id="rId3"/>
      <w:footerReference w:type="first" r:id="rId4"/>
      <w:pgSz w:w="11906" w:h="16838"/>
      <w:pgMar w:top="1440" w:right="1701" w:bottom="1440" w:left="1803" w:header="851" w:footer="992" w:gutter="0"/>
      <w:pgNumType/>
      <w:cols w:num="1" w:space="0"/>
      <w:rtlGutter/>
      <w:docGrid w:type="lines" w:linePitch="319"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黑体_GBK">
    <w:panose1 w:val="02000000000000000000"/>
    <w:charset w:val="86"/>
    <w:family w:val="script"/>
    <w:pitch w:val="variable"/>
    <w:sig w:usb0="00000001" w:usb1="08000000" w:usb2="00000000" w:usb3="00000000" w:csb0="00040000" w:csb1="00000000"/>
  </w:font>
  <w:font w:name="方正小标宋简体">
    <w:altName w:val="方正小标宋_GBK"/>
    <w:panose1 w:val="02000000000000000000"/>
    <w:charset w:val="86"/>
    <w:family w:val="auto"/>
    <w:pitch w:val="variable"/>
    <w:sig w:usb0="A00002BF" w:usb1="184F6CFA" w:usb2="00000012" w:usb3="00000000" w:csb0="00040001"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CESI楷体-GB2312">
    <w:panose1 w:val="02000500000000000000"/>
    <w:charset w:val="86"/>
    <w:family w:val="script"/>
    <w:pitch w:val="variable"/>
    <w:sig w:usb0="800002BF" w:usb1="184F6CF8" w:usb2="00000012" w:usb3="00000000" w:csb0="0004000F" w:csb1="00000000"/>
  </w:font>
  <w:font w:name="方正公文仿宋">
    <w:altName w:val="仿宋"/>
    <w:panose1 w:val="02000000000000000000"/>
    <w:charset w:val="86"/>
    <w:family w:val="script"/>
    <w:pitch w:val="variable"/>
    <w:sig w:usb0="00000000" w:usb1="00000000" w:usb2="00000000" w:usb3="00000000" w:csb0="00040000" w:csb1="00000000"/>
  </w:font>
  <w:font w:name="宋体">
    <w:panose1 w:val="02010600030101010101"/>
    <w:charset w:val="86"/>
    <w:family w:val="auto"/>
    <w:pitch w:val="variable"/>
    <w:sig w:usb0="00000003" w:usb1="288F0000" w:usb2="00000006" w:usb3="00000000" w:csb0="00040001" w:csb1="00000000"/>
  </w:font>
  <w:font w:name="Lucida Sans">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E00002FF" w:usb1="4000ACFF" w:usb2="00000001" w:usb3="00000000" w:csb0="2000019F" w:csb1="00000000"/>
  </w:font>
  <w:font w:name="楷体_GB2312">
    <w:panose1 w:val="02010609030101010101"/>
    <w:charset w:val="86"/>
    <w:family w:val="modern"/>
    <w:pitch w:val="variable"/>
    <w:sig w:usb0="00000001" w:usb1="080E0000" w:usb2="00000000" w:usb3="00000000" w:csb0="00040000" w:csb1="00000000"/>
  </w:font>
  <w:font w:name="FangSong">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ind w:right="360" w:firstLine="360"/>
    </w:pPr>
    <w:r>
      <w:rPr>
        <w:sz w:val="18"/>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533400" cy="204452"/>
              <wp:wrapNone/>
              <wp:docPr id="2" name="文本框 2"/>
              <wp:cNvGraphicFramePr>
                <a:graphicFrameLocks noChangeAspect="0"/>
              </wp:cNvGraphicFramePr>
              <a:graphic>
                <a:graphicData uri="http://schemas.microsoft.com/office/word/2010/wordprocessingShape">
                  <wps:wsp>
                    <wps:cNvSpPr/>
                    <wps:spPr>
                      <a:xfrm rot="0">
                        <a:off x="0" y="0"/>
                        <a:ext cx="533400" cy="204452"/>
                      </a:xfrm>
                      <a:prstGeom prst="rect"/>
                      <a:noFill/>
                      <a:ln w="6350" cmpd="sng" cap="flat">
                        <a:noFill/>
                        <a:prstDash val="solid"/>
                        <a:round/>
                      </a:ln>
                    </wps:spPr>
                    <wps:txbx id="1">
                      <w:txbxContent>
                        <w:p>
                          <w:pPr>
                            <w:pStyle w:val="17"/>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1</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txbxContent>
                    </wps:txbx>
                    <wps:bodyPr vert="horz" wrap="none" lIns="0" tIns="0" rIns="0" bIns="0" anchor="t" anchorCtr="0" upright="0">
                      <a:spAutoFit/>
                    </wps:bodyPr>
                  </wps:wsp>
                </a:graphicData>
              </a:graphic>
            </wp:anchor>
          </w:drawing>
        </mc:Choice>
        <mc:Fallback>
          <w:pict>
            <v:rect type="#_x0000_t1" id="文本框 2" o:spid="_x0000_s2" filled="f" stroked="f" strokeweight="0.5pt" style="position:absolute;margin-left:0.0pt;margin-top:0.0pt;width:42.0pt;height:16.098583pt;z-index:12;mso-position-horizontal:center;mso-position-horizontal-relative:margin;mso-position-vertical:absolute;mso-wrap-style:none;">
              <v:stroke/>
              <v:textbox id="848" inset="0mm,0mm,0mm,0mm" o:insetmode="custom" style="layout-flow:horizontal;v-text-anchor:top;mso-fit-shape-to-text:t;">
                <w:txbxContent>
                  <w:p>
                    <w:pPr>
                      <w:pStyle w:val="17"/>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1</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7"/>
      <w:tabs>
        <w:tab w:val="center" w:pos="4153"/>
        <w:tab w:val="right" w:pos="8306"/>
      </w:tabs>
      <w:ind w:right="360" w:firstLine="36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p>
  <w:p>
    <w:pPr>
      <w:pStyle w:val="17"/>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7"/>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420"/>
  <w:drawingGridHorizontalSpacing w:val="177"/>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楷体_GB2312" w:cs="Times New Roman" w:hAnsi="Calibri"/>
      <w:kern w:val="2"/>
      <w:sz w:val="21"/>
      <w:szCs w:val="22"/>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楷体_GB2312" w:cs="Times New Roman"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楷体_GB2312" w:cs="Times New Roman"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next w:val="16"/>
    <w:pPr>
      <w:kinsoku w:val="0"/>
      <w:autoSpaceDE w:val="0"/>
      <w:autoSpaceDN w:val="0"/>
      <w:adjustRightInd w:val="0"/>
      <w:snapToGrid w:val="0"/>
      <w:spacing w:line="240" w:lineRule="auto"/>
      <w:jc w:val="left"/>
      <w:textAlignment w:val="baseline"/>
    </w:pPr>
    <w:rPr>
      <w:rFonts w:ascii="FangSong" w:eastAsia="FangSong" w:cs="FangSong" w:hAnsi="FangSong"/>
      <w:snapToGrid w:val="0"/>
      <w:color w:val="000000"/>
      <w:kern w:val="0"/>
      <w:sz w:val="32"/>
      <w:szCs w:val="32"/>
      <w:lang w:val="en-US" w:bidi="ar-SA"/>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paragraph" w:styleId="17">
    <w:name w:val="footer"/>
    <w:qFormat/>
    <w:basedOn w:val="0"/>
    <w:pPr>
      <w:tabs>
        <w:tab w:val="center" w:pos="4153"/>
        <w:tab w:val="right" w:pos="8306"/>
      </w:tabs>
      <w:snapToGrid w:val="0"/>
      <w:jc w:val="left"/>
    </w:pPr>
    <w:rPr>
      <w:sz w:val="18"/>
      <w:szCs w:val="18"/>
    </w:rPr>
  </w:style>
  <w:style w:type="character" w:styleId="18">
    <w:name w:val="page number"/>
    <w:qFormat/>
    <w:basedOn w:val="10"/>
  </w:style>
  <w:style w:type="character" w:styleId="19">
    <w:name w:val="Hyperlink"/>
    <w:qFormat/>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046911A3-4CED-4ECD-9679-ED49489A36B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9</TotalTime>
  <Application>WPS_Yozo_Office9.0.6141.161ZH.S1</Application>
  <Pages>9</Pages>
  <Words>0</Words>
  <Characters>3588</Characters>
  <Lines>0</Lines>
  <Paragraphs>70</Paragraphs>
  <CharactersWithSpaces>4784</CharactersWithSpaces>
  <Company>P R C</Company>
</Properties>
</file>

<file path=docProps/core.xml><?xml version="1.0" encoding="utf-8"?>
<cp:coreProperties xmlns:cp="http://schemas.openxmlformats.org/package/2006/metadata/core-properties" xmlns:dc="http://purl.org/dc/elements/1.1/" xmlns:dcterms="http://purl.org/dc/terms/" xmlns:xsi="http://www.w3.org/2001/XMLSchema-instance">
  <dc:creator>China</dc:creator>
  <cp:lastModifiedBy>thtf</cp:lastModifiedBy>
  <cp:revision>105</cp:revision>
  <cp:lastPrinted>2025-09-19T09:15:44Z</cp:lastPrinted>
  <dcterms:created xsi:type="dcterms:W3CDTF">2025-09-11T02:07:00Z</dcterms:created>
  <dcterms:modified xsi:type="dcterms:W3CDTF">2025-09-23T09:28:20Z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2052-12.8.2.1113</vt:lpwstr>
  </property>
  <property fmtid="{D5CDD505-2E9C-101B-9397-08002B2CF9AE}" pid="3" name="ICV">
    <vt:lpwstr>C1126F027A73B37D1AA5CB681F85FFF7</vt:lpwstr>
  </property>
</Properties>
</file>