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AFF1">
      <w:pPr>
        <w:spacing w:line="520" w:lineRule="exact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附件1</w:t>
      </w:r>
    </w:p>
    <w:p w14:paraId="39CA16B7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  <w:u w:val="singl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四川省</w:t>
      </w:r>
      <w:r>
        <w:rPr>
          <w:rFonts w:hint="eastAsia" w:ascii="黑体" w:eastAsia="黑体" w:cs="宋体"/>
          <w:spacing w:val="-6"/>
          <w:sz w:val="36"/>
          <w:szCs w:val="36"/>
          <w:highlight w:val="none"/>
          <w:lang w:val="en-US" w:eastAsia="zh-CN"/>
        </w:rPr>
        <w:t>财政厅</w:t>
      </w:r>
      <w:r>
        <w:rPr>
          <w:rFonts w:hint="eastAsia" w:ascii="黑体" w:eastAsia="黑体" w:cs="宋体"/>
          <w:spacing w:val="-6"/>
          <w:sz w:val="36"/>
          <w:szCs w:val="36"/>
          <w:highlight w:val="none"/>
          <w:lang w:eastAsia="zh-CN"/>
        </w:rPr>
        <w:t>所属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事业单位</w:t>
      </w:r>
    </w:p>
    <w:p w14:paraId="67FDB71B">
      <w:pPr>
        <w:spacing w:line="520" w:lineRule="exact"/>
        <w:jc w:val="center"/>
        <w:rPr>
          <w:rFonts w:hint="eastAsia" w:ascii="黑体" w:eastAsia="黑体" w:cs="宋体"/>
          <w:spacing w:val="-6"/>
          <w:sz w:val="36"/>
          <w:szCs w:val="36"/>
          <w:highlight w:val="none"/>
        </w:rPr>
      </w:pP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2025年</w:t>
      </w:r>
      <w:r>
        <w:rPr>
          <w:rFonts w:hint="eastAsia" w:ascii="黑体" w:eastAsia="黑体" w:cs="宋体"/>
          <w:spacing w:val="-6"/>
          <w:sz w:val="36"/>
          <w:szCs w:val="36"/>
          <w:highlight w:val="none"/>
          <w:lang w:eastAsia="zh-CN"/>
        </w:rPr>
        <w:t>下</w:t>
      </w:r>
      <w:r>
        <w:rPr>
          <w:rFonts w:hint="eastAsia" w:ascii="黑体" w:eastAsia="黑体" w:cs="宋体"/>
          <w:spacing w:val="-6"/>
          <w:sz w:val="36"/>
          <w:szCs w:val="36"/>
          <w:highlight w:val="none"/>
        </w:rPr>
        <w:t>半年公开招聘工作人员岗位和条件要求一览表</w:t>
      </w:r>
    </w:p>
    <w:p w14:paraId="0AAC003F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48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812"/>
        <w:gridCol w:w="825"/>
        <w:gridCol w:w="1358"/>
        <w:gridCol w:w="570"/>
        <w:gridCol w:w="952"/>
        <w:gridCol w:w="743"/>
        <w:gridCol w:w="2522"/>
        <w:gridCol w:w="996"/>
        <w:gridCol w:w="873"/>
        <w:gridCol w:w="1145"/>
        <w:gridCol w:w="873"/>
        <w:gridCol w:w="851"/>
        <w:gridCol w:w="1129"/>
      </w:tblGrid>
      <w:tr w14:paraId="1743E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EA1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84D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63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6C14D3C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116B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5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C871D0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E88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笔试</w:t>
            </w:r>
          </w:p>
          <w:p w14:paraId="4AD8AB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49B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公共科目笔试名称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454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7CE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试</w:t>
            </w:r>
          </w:p>
          <w:p w14:paraId="670448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比例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7B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12F66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1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E6879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BF809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54A59A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5D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  <w:p w14:paraId="7070E6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6A5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8ECA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D2F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5F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  <w:p w14:paraId="3D2DD1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4BB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764F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1091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9649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3226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F52D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5235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1140F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898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四川财经</w:t>
            </w:r>
          </w:p>
          <w:p w14:paraId="7888140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职业学院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3F33F2">
            <w:pP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管理岗位七级及以下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7B7C">
            <w:pPr>
              <w:rPr>
                <w:rFonts w:hint="default" w:ascii="仿宋_GB2312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党委组织部综合管理干事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D8CC">
            <w:pP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200002001001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723E">
            <w:pP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95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C070117">
            <w:pPr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198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年10月13日及以后</w:t>
            </w:r>
          </w:p>
          <w:p w14:paraId="19CFE3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F490F16">
            <w:pP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及以上学历并取得相应学位</w:t>
            </w:r>
          </w:p>
          <w:p w14:paraId="48D7AC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10EA23">
            <w:pP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中共党史党建学（一级学科）、中国语言文学（一级学科）、马克思主义理论（一级学科）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9B572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18"/>
                <w:szCs w:val="21"/>
                <w:lang w:val="en-US" w:eastAsia="zh-CN"/>
              </w:rPr>
              <w:t>中共党员（含预备党员）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2"/>
                <w:lang w:val="en-US" w:eastAsia="zh-CN"/>
              </w:rPr>
              <w:t xml:space="preserve">             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57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52D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  <w:t>《公共基础知识》和《综合能力测试》</w:t>
            </w:r>
          </w:p>
          <w:p w14:paraId="106BCD1F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A2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72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DDEE"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>因组织人事改革工作需要长期加班，更适合男性，且入职后最低服务年限5年</w:t>
            </w:r>
          </w:p>
        </w:tc>
      </w:tr>
      <w:tr w14:paraId="536C8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E05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F041DE"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管理岗位七级及以下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D2B5">
            <w:pPr>
              <w:rPr>
                <w:rFonts w:hint="default" w:ascii="仿宋_GB2312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人事处综合管理干事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70699">
            <w:pP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200002001002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BEEF7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5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AABF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C3CC69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97F2A">
            <w:pPr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经济学（门类）、管理学（门类）、教育学（一级学科）、法学（一级学科）、数学（一级学科）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F8BE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08B4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8452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A9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154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87C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</w:p>
        </w:tc>
      </w:tr>
      <w:tr w14:paraId="4ED52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E71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0BDFB1">
            <w:pPr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专业技术岗位十级及以下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3ADDE">
            <w:pPr>
              <w:rPr>
                <w:rFonts w:hint="default" w:ascii="仿宋_GB2312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专职思政理论课教师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1B84">
            <w:pP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200002001003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8F46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2E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68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EC045F">
            <w:pPr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哲学（一级学科）、马克思主义理论（一级学科）、中共党史党建学（一级学科）、政治学（一级学科）、理论经济学（一级学科）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3ED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18"/>
                <w:szCs w:val="21"/>
                <w:lang w:val="en-US" w:eastAsia="zh-CN"/>
              </w:rPr>
              <w:t>中共党员（含预备党员）</w:t>
            </w: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840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01AD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4C7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4E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3：1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4D4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5"/>
                <w:szCs w:val="15"/>
                <w:lang w:val="en-US" w:eastAsia="zh-CN"/>
              </w:rPr>
              <w:t>入职后最低服务年限5年</w:t>
            </w:r>
          </w:p>
        </w:tc>
      </w:tr>
    </w:tbl>
    <w:p w14:paraId="06927EFC">
      <w:pPr>
        <w:rPr>
          <w:rFonts w:hint="eastAsia" w:ascii="楷体_GB2312" w:eastAsia="楷体_GB2312" w:cs="Times New Roman"/>
          <w:sz w:val="24"/>
          <w:szCs w:val="24"/>
          <w:lang w:eastAsia="zh-CN"/>
        </w:rPr>
      </w:pPr>
    </w:p>
    <w:p w14:paraId="5657B79A">
      <w:pPr>
        <w:rPr>
          <w:rFonts w:hint="eastAsia" w:ascii="楷体_GB2312" w:eastAsia="楷体_GB2312" w:cs="Times New Roman"/>
          <w:sz w:val="24"/>
          <w:szCs w:val="24"/>
          <w:lang w:eastAsia="zh-CN"/>
        </w:rPr>
      </w:pPr>
      <w:r>
        <w:rPr>
          <w:rFonts w:hint="eastAsia" w:ascii="楷体_GB2312" w:eastAsia="楷体_GB2312" w:cs="Times New Roman"/>
          <w:sz w:val="24"/>
          <w:szCs w:val="24"/>
          <w:lang w:eastAsia="zh-CN"/>
        </w:rPr>
        <w:t>注：</w:t>
      </w:r>
      <w:r>
        <w:rPr>
          <w:rFonts w:hint="eastAsia" w:ascii="楷体_GB2312" w:eastAsia="楷体_GB2312" w:cs="Times New Roman"/>
          <w:sz w:val="24"/>
          <w:szCs w:val="24"/>
          <w:lang w:val="en-US" w:eastAsia="zh-CN"/>
        </w:rPr>
        <w:t>1.</w:t>
      </w:r>
      <w:r>
        <w:rPr>
          <w:rFonts w:hint="eastAsia" w:ascii="楷体_GB2312" w:eastAsia="楷体_GB2312" w:cs="Times New Roman"/>
          <w:sz w:val="24"/>
          <w:szCs w:val="24"/>
          <w:lang w:eastAsia="zh-CN"/>
        </w:rPr>
        <w:t>本表各岗位相关的其他条件及要求请见本公告正文。</w:t>
      </w:r>
    </w:p>
    <w:p w14:paraId="25BD4F06">
      <w:pPr>
        <w:ind w:firstLine="480" w:firstLineChars="200"/>
        <w:rPr>
          <w:rFonts w:hint="default" w:ascii="楷体_GB2312" w:eastAsia="楷体_GB2312" w:cs="Times New Roman"/>
          <w:sz w:val="24"/>
          <w:szCs w:val="24"/>
          <w:lang w:val="en-US" w:eastAsia="zh-CN"/>
        </w:rPr>
      </w:pPr>
      <w:r>
        <w:rPr>
          <w:rFonts w:hint="eastAsia" w:ascii="楷体_GB2312" w:eastAsia="楷体_GB2312" w:cs="Times New Roman"/>
          <w:sz w:val="24"/>
          <w:szCs w:val="24"/>
          <w:lang w:val="en-US" w:eastAsia="zh-CN"/>
        </w:rPr>
        <w:t>2.</w:t>
      </w:r>
      <w:r>
        <w:rPr>
          <w:rFonts w:hint="eastAsia" w:ascii="楷体_GB2312" w:eastAsia="楷体_GB2312" w:cs="Times New Roman"/>
          <w:sz w:val="24"/>
          <w:szCs w:val="24"/>
          <w:lang w:eastAsia="zh-CN"/>
        </w:rPr>
        <w:t>退役军人可在本表表述的年龄基础上再放宽</w:t>
      </w:r>
      <w:r>
        <w:rPr>
          <w:rFonts w:hint="eastAsia" w:ascii="楷体_GB2312" w:eastAsia="楷体_GB2312" w:cs="Times New Roman"/>
          <w:sz w:val="24"/>
          <w:szCs w:val="24"/>
          <w:lang w:val="en-US" w:eastAsia="zh-CN"/>
        </w:rPr>
        <w:t>2周岁。</w:t>
      </w:r>
    </w:p>
    <w:p w14:paraId="62AAECAB">
      <w:pPr>
        <w:ind w:firstLine="480" w:firstLineChars="200"/>
        <w:rPr>
          <w:rFonts w:hint="default" w:ascii="楷体_GB2312" w:eastAsia="楷体_GB2312" w:cs="Times New Roman"/>
          <w:sz w:val="24"/>
          <w:szCs w:val="24"/>
          <w:lang w:val="en-US" w:eastAsia="zh-CN"/>
        </w:rPr>
      </w:pPr>
      <w:r>
        <w:rPr>
          <w:rFonts w:hint="eastAsia" w:ascii="楷体_GB2312" w:eastAsia="楷体_GB2312" w:cs="Times New Roman"/>
          <w:sz w:val="24"/>
          <w:szCs w:val="24"/>
          <w:lang w:val="en-US" w:eastAsia="zh-CN"/>
        </w:rPr>
        <w:t>3.专业条件要求中的门类或一级学科包含的所有专业均符合要求。</w:t>
      </w:r>
    </w:p>
    <w:p w14:paraId="597A852F">
      <w:pPr>
        <w:ind w:firstLine="480" w:firstLineChars="200"/>
        <w:rPr>
          <w:rFonts w:hint="eastAsia" w:ascii="楷体_GB2312" w:eastAsia="楷体_GB2312" w:cs="Times New Roman"/>
          <w:sz w:val="24"/>
          <w:szCs w:val="24"/>
          <w:lang w:eastAsia="zh-CN"/>
        </w:rPr>
      </w:pPr>
      <w:r>
        <w:rPr>
          <w:rFonts w:hint="eastAsia" w:ascii="楷体_GB2312" w:eastAsia="楷体_GB2312" w:cs="Times New Roman"/>
          <w:sz w:val="24"/>
          <w:szCs w:val="24"/>
          <w:lang w:val="en-US" w:eastAsia="zh-CN"/>
        </w:rPr>
        <w:t>4.</w:t>
      </w:r>
      <w:r>
        <w:rPr>
          <w:rFonts w:hint="eastAsia" w:ascii="楷体_GB2312" w:eastAsia="楷体_GB2312" w:cs="Times New Roman"/>
          <w:sz w:val="24"/>
          <w:szCs w:val="24"/>
          <w:lang w:eastAsia="zh-CN"/>
        </w:rPr>
        <w:t>报考者本人有效学位证所载学位应与拟报考岗位的“学位”资格要求相符；报考者本人有效的毕业证所载学历和专业名称（专业方向），应与拟报考岗位的“学历”和“专业条件要求”两栏分别相符。</w:t>
      </w:r>
    </w:p>
    <w:p w14:paraId="422B7309">
      <w:pPr>
        <w:ind w:firstLine="480" w:firstLineChars="200"/>
        <w:rPr>
          <w:rFonts w:hint="default" w:ascii="楷体_GB2312" w:eastAsia="楷体_GB2312" w:cs="Times New Roman"/>
          <w:sz w:val="24"/>
          <w:szCs w:val="24"/>
          <w:lang w:val="en-US" w:eastAsia="zh-CN"/>
        </w:rPr>
      </w:pPr>
    </w:p>
    <w:p w14:paraId="754B1F09">
      <w:pPr>
        <w:numPr>
          <w:ilvl w:val="0"/>
          <w:numId w:val="0"/>
        </w:numPr>
        <w:ind w:firstLine="480" w:firstLineChars="200"/>
        <w:rPr>
          <w:rFonts w:hint="eastAsia" w:ascii="楷体_GB2312" w:eastAsia="楷体_GB2312"/>
          <w:sz w:val="24"/>
          <w:szCs w:val="24"/>
          <w:lang w:val="en-US" w:eastAsia="zh-CN"/>
        </w:rPr>
      </w:pPr>
    </w:p>
    <w:p w14:paraId="668A67B4">
      <w:pPr>
        <w:spacing w:line="500" w:lineRule="exact"/>
        <w:ind w:firstLine="560" w:firstLineChars="200"/>
        <w:jc w:val="left"/>
        <w:rPr>
          <w:rFonts w:hint="default" w:ascii="黑体" w:eastAsia="黑体" w:cs="宋体"/>
          <w:color w:val="auto"/>
          <w:sz w:val="28"/>
          <w:szCs w:val="28"/>
          <w:shd w:val="pct10" w:color="auto" w:fill="FFFFFF"/>
          <w:lang w:val="en-US" w:eastAsia="zh-CN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cols w:space="720" w:num="1"/>
          <w:rtlGutter w:val="0"/>
          <w:docGrid w:linePitch="312" w:charSpace="0"/>
        </w:sectPr>
      </w:pPr>
    </w:p>
    <w:p w14:paraId="2F87E4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89BD6">
    <w:pPr>
      <w:pStyle w:val="2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4E4B0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宋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21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14E4B0">
                    <w:pPr>
                      <w:pStyle w:val="2"/>
                      <w:jc w:val="right"/>
                    </w:pPr>
                    <w:r>
                      <w:rPr>
                        <w:rFonts w:hint="eastAsia" w:ascii="宋体"/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21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8BF9B">
    <w:pPr>
      <w:pStyle w:val="2"/>
      <w:rPr>
        <w:rFonts w:hint="eastAsia"/>
        <w:sz w:val="24"/>
        <w:szCs w:val="24"/>
      </w:rPr>
    </w:pPr>
    <w:r>
      <w:rPr>
        <w:rFonts w:hint="eastAsia" w:ascii="宋体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20</w:t>
    </w:r>
    <w:r>
      <w:rPr>
        <w:sz w:val="24"/>
        <w:szCs w:val="24"/>
      </w:rPr>
      <w:fldChar w:fldCharType="end"/>
    </w:r>
    <w:r>
      <w:rPr>
        <w:rFonts w:hint="eastAsia" w:ascii="宋体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DB6320E"/>
    <w:rsid w:val="4DB6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2025-09-26T06:56:00Z</dcterms:created>
  <dc:creator>晨昏线</dc:creator>
  <cp:lastModifiedBy>晨昏线</cp:lastModifiedBy>
  <dcterms:modified xsi:type="dcterms:W3CDTF">2025-09-26T06:56:46Z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D35B0A86E949452F8399E59F438AEB6F_11</vt:lpwstr>
  </property>
</Properties>
</file>