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66420">
      <w:pPr>
        <w:jc w:val="left"/>
        <w:rPr>
          <w:bCs/>
          <w:color w:val="000000" w:themeColor="text1"/>
          <w:sz w:val="32"/>
          <w:szCs w:val="48"/>
          <w14:textFill>
            <w14:solidFill>
              <w14:schemeClr w14:val="tx1"/>
            </w14:solidFill>
          </w14:textFill>
        </w:rPr>
      </w:pPr>
      <w:r>
        <w:rPr>
          <w:bCs/>
          <w:color w:val="000000" w:themeColor="text1"/>
          <w:sz w:val="32"/>
          <w:szCs w:val="48"/>
          <w14:textFill>
            <w14:solidFill>
              <w14:schemeClr w14:val="tx1"/>
            </w14:solidFill>
          </w14:textFill>
        </w:rPr>
        <w:t>附件1</w:t>
      </w:r>
    </w:p>
    <w:p w14:paraId="6916E095">
      <w:pPr>
        <w:pStyle w:val="5"/>
        <w:widowControl/>
        <w:shd w:val="clear" w:color="auto" w:fill="FFFFFF"/>
        <w:snapToGrid w:val="0"/>
        <w:spacing w:beforeAutospacing="0" w:afterAutospacing="0"/>
        <w:jc w:val="center"/>
        <w:rPr>
          <w:rFonts w:eastAsia="方正小标宋简体"/>
          <w:color w:val="000000" w:themeColor="text1"/>
          <w:sz w:val="44"/>
          <w:szCs w:val="44"/>
          <w:shd w:val="clear" w:color="auto" w:fill="FFFFFF"/>
          <w14:textFill>
            <w14:solidFill>
              <w14:schemeClr w14:val="tx1"/>
            </w14:solidFill>
          </w14:textFill>
        </w:rPr>
      </w:pPr>
      <w:r>
        <w:rPr>
          <w:rFonts w:eastAsia="方正小标宋简体"/>
          <w:color w:val="000000" w:themeColor="text1"/>
          <w:sz w:val="36"/>
          <w:szCs w:val="36"/>
          <w:shd w:val="clear" w:color="auto" w:fill="FFFFFF"/>
          <w14:textFill>
            <w14:solidFill>
              <w14:schemeClr w14:val="tx1"/>
            </w14:solidFill>
          </w14:textFill>
        </w:rPr>
        <w:t>岗位信息表</w:t>
      </w:r>
    </w:p>
    <w:tbl>
      <w:tblPr>
        <w:tblStyle w:val="6"/>
        <w:tblpPr w:leftFromText="180" w:rightFromText="180" w:vertAnchor="text" w:horzAnchor="page" w:tblpXSpec="center" w:tblpY="335"/>
        <w:tblOverlap w:val="never"/>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68"/>
        <w:gridCol w:w="788"/>
        <w:gridCol w:w="5485"/>
        <w:gridCol w:w="2021"/>
        <w:gridCol w:w="176"/>
      </w:tblGrid>
      <w:tr w14:paraId="1FB3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jc w:val="center"/>
        </w:trPr>
        <w:tc>
          <w:tcPr>
            <w:tcW w:w="851" w:type="dxa"/>
            <w:vAlign w:val="center"/>
          </w:tcPr>
          <w:p w14:paraId="4FD98E82">
            <w:pPr>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序号</w:t>
            </w:r>
          </w:p>
        </w:tc>
        <w:tc>
          <w:tcPr>
            <w:tcW w:w="1268" w:type="dxa"/>
            <w:vAlign w:val="center"/>
          </w:tcPr>
          <w:p w14:paraId="20735BF9">
            <w:pPr>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岗位</w:t>
            </w:r>
          </w:p>
        </w:tc>
        <w:tc>
          <w:tcPr>
            <w:tcW w:w="788" w:type="dxa"/>
            <w:vAlign w:val="center"/>
          </w:tcPr>
          <w:p w14:paraId="35CC403E">
            <w:pPr>
              <w:jc w:val="center"/>
              <w:rPr>
                <w:rFonts w:eastAsia="黑体"/>
                <w:color w:val="000000" w:themeColor="text1"/>
                <w:sz w:val="24"/>
                <w14:textFill>
                  <w14:solidFill>
                    <w14:schemeClr w14:val="tx1"/>
                  </w14:solidFill>
                </w14:textFill>
              </w:rPr>
            </w:pPr>
            <w:r>
              <w:rPr>
                <w:rFonts w:hint="eastAsia" w:eastAsia="黑体"/>
                <w:color w:val="000000" w:themeColor="text1"/>
                <w:sz w:val="24"/>
                <w14:textFill>
                  <w14:solidFill>
                    <w14:schemeClr w14:val="tx1"/>
                  </w14:solidFill>
                </w14:textFill>
              </w:rPr>
              <w:t>招聘</w:t>
            </w:r>
            <w:r>
              <w:rPr>
                <w:rFonts w:eastAsia="黑体"/>
                <w:color w:val="000000" w:themeColor="text1"/>
                <w:sz w:val="24"/>
                <w14:textFill>
                  <w14:solidFill>
                    <w14:schemeClr w14:val="tx1"/>
                  </w14:solidFill>
                </w14:textFill>
              </w:rPr>
              <w:t>人数</w:t>
            </w:r>
          </w:p>
        </w:tc>
        <w:tc>
          <w:tcPr>
            <w:tcW w:w="5485" w:type="dxa"/>
            <w:vAlign w:val="center"/>
          </w:tcPr>
          <w:p w14:paraId="02C1FAFE">
            <w:pPr>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岗位要求</w:t>
            </w:r>
          </w:p>
        </w:tc>
        <w:tc>
          <w:tcPr>
            <w:tcW w:w="2197" w:type="dxa"/>
            <w:gridSpan w:val="2"/>
            <w:vAlign w:val="center"/>
          </w:tcPr>
          <w:p w14:paraId="7B548676">
            <w:pPr>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经费预算</w:t>
            </w:r>
          </w:p>
        </w:tc>
      </w:tr>
      <w:tr w14:paraId="26A1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3" w:hRule="atLeast"/>
          <w:jc w:val="center"/>
        </w:trPr>
        <w:tc>
          <w:tcPr>
            <w:tcW w:w="851" w:type="dxa"/>
            <w:vAlign w:val="center"/>
          </w:tcPr>
          <w:p w14:paraId="1489F815">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1</w:t>
            </w:r>
          </w:p>
        </w:tc>
        <w:tc>
          <w:tcPr>
            <w:tcW w:w="1268" w:type="dxa"/>
            <w:vAlign w:val="center"/>
          </w:tcPr>
          <w:p w14:paraId="045560C6">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窗口服务人员</w:t>
            </w:r>
          </w:p>
        </w:tc>
        <w:tc>
          <w:tcPr>
            <w:tcW w:w="788" w:type="dxa"/>
            <w:vAlign w:val="center"/>
          </w:tcPr>
          <w:p w14:paraId="2195DF2E">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2</w:t>
            </w:r>
          </w:p>
        </w:tc>
        <w:tc>
          <w:tcPr>
            <w:tcW w:w="5485" w:type="dxa"/>
            <w:vAlign w:val="center"/>
          </w:tcPr>
          <w:p w14:paraId="1F0FCD11">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1.年龄：</w:t>
            </w:r>
            <w:r>
              <w:rPr>
                <w:rFonts w:hint="eastAsia" w:eastAsia="仿宋_GB2312"/>
                <w:color w:val="000000" w:themeColor="text1"/>
                <w:sz w:val="24"/>
                <w14:textFill>
                  <w14:solidFill>
                    <w14:schemeClr w14:val="tx1"/>
                  </w14:solidFill>
                </w14:textFill>
              </w:rPr>
              <w:t>1986年9月29日及以后出生</w:t>
            </w:r>
            <w:r>
              <w:rPr>
                <w:rFonts w:eastAsia="仿宋_GB2312"/>
                <w:color w:val="000000" w:themeColor="text1"/>
                <w:sz w:val="24"/>
                <w14:textFill>
                  <w14:solidFill>
                    <w14:schemeClr w14:val="tx1"/>
                  </w14:solidFill>
                </w14:textFill>
              </w:rPr>
              <w:t>。</w:t>
            </w:r>
          </w:p>
          <w:p w14:paraId="081C1D17">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2.学历：大学本科及以上学历，并取得相应学位。</w:t>
            </w:r>
          </w:p>
          <w:p w14:paraId="1BE29231">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3.</w:t>
            </w:r>
            <w:r>
              <w:rPr>
                <w:rFonts w:hint="eastAsia" w:eastAsia="仿宋_GB2312"/>
                <w:color w:val="000000" w:themeColor="text1"/>
                <w:sz w:val="24"/>
                <w14:textFill>
                  <w14:solidFill>
                    <w14:schemeClr w14:val="tx1"/>
                  </w14:solidFill>
                </w14:textFill>
              </w:rPr>
              <w:t>本科</w:t>
            </w:r>
            <w:r>
              <w:rPr>
                <w:rFonts w:eastAsia="仿宋_GB2312"/>
                <w:color w:val="000000" w:themeColor="text1"/>
                <w:sz w:val="24"/>
                <w14:textFill>
                  <w14:solidFill>
                    <w14:schemeClr w14:val="tx1"/>
                  </w14:solidFill>
                </w14:textFill>
              </w:rPr>
              <w:t>专业：汉语言文学、汉语言、应用语言学、秘书学、网络与新媒体</w:t>
            </w:r>
            <w:r>
              <w:rPr>
                <w:rFonts w:hint="eastAsia" w:eastAsia="仿宋_GB2312"/>
                <w:color w:val="000000" w:themeColor="text1"/>
                <w:sz w:val="24"/>
                <w14:textFill>
                  <w14:solidFill>
                    <w14:schemeClr w14:val="tx1"/>
                  </w14:solidFill>
                </w14:textFill>
              </w:rPr>
              <w:t>、</w:t>
            </w:r>
            <w:r>
              <w:rPr>
                <w:rFonts w:eastAsia="仿宋_GB2312"/>
                <w:color w:val="000000" w:themeColor="text1"/>
                <w:sz w:val="24"/>
                <w14:textFill>
                  <w14:solidFill>
                    <w14:schemeClr w14:val="tx1"/>
                  </w14:solidFill>
                </w14:textFill>
              </w:rPr>
              <w:t>行政管理、公共事业管理、公共关系学</w:t>
            </w:r>
            <w:r>
              <w:rPr>
                <w:rFonts w:hint="eastAsia" w:eastAsia="仿宋_GB2312"/>
                <w:color w:val="000000" w:themeColor="text1"/>
                <w:sz w:val="24"/>
                <w14:textFill>
                  <w14:solidFill>
                    <w14:schemeClr w14:val="tx1"/>
                  </w14:solidFill>
                </w14:textFill>
              </w:rPr>
              <w:t>；</w:t>
            </w:r>
          </w:p>
          <w:p w14:paraId="762C898F">
            <w:pP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研究生专业：</w:t>
            </w:r>
            <w:r>
              <w:rPr>
                <w:rFonts w:eastAsia="仿宋_GB2312"/>
                <w:color w:val="000000" w:themeColor="text1"/>
                <w:sz w:val="24"/>
                <w14:textFill>
                  <w14:solidFill>
                    <w14:schemeClr w14:val="tx1"/>
                  </w14:solidFill>
                </w14:textFill>
              </w:rPr>
              <w:t>中国语言文学、汉语言文字学、语言学及应用语言学、</w:t>
            </w:r>
            <w:r>
              <w:rPr>
                <w:rFonts w:hint="eastAsia" w:eastAsia="仿宋_GB2312"/>
                <w:color w:val="000000" w:themeColor="text1"/>
                <w:sz w:val="24"/>
                <w14:textFill>
                  <w14:solidFill>
                    <w14:schemeClr w14:val="tx1"/>
                  </w14:solidFill>
                </w14:textFill>
              </w:rPr>
              <w:t>新闻传播学、</w:t>
            </w:r>
            <w:r>
              <w:rPr>
                <w:rFonts w:eastAsia="仿宋_GB2312"/>
                <w:color w:val="000000" w:themeColor="text1"/>
                <w:sz w:val="24"/>
                <w14:textFill>
                  <w14:solidFill>
                    <w14:schemeClr w14:val="tx1"/>
                  </w14:solidFill>
                </w14:textFill>
              </w:rPr>
              <w:t>公共管理学</w:t>
            </w:r>
            <w:r>
              <w:rPr>
                <w:rFonts w:hint="eastAsia" w:eastAsia="仿宋_GB2312"/>
                <w:color w:val="000000" w:themeColor="text1"/>
                <w:sz w:val="24"/>
                <w14:textFill>
                  <w14:solidFill>
                    <w14:schemeClr w14:val="tx1"/>
                  </w14:solidFill>
                </w14:textFill>
              </w:rPr>
              <w:t>、行政管理。</w:t>
            </w:r>
          </w:p>
        </w:tc>
        <w:tc>
          <w:tcPr>
            <w:tcW w:w="2197" w:type="dxa"/>
            <w:gridSpan w:val="2"/>
            <w:vAlign w:val="center"/>
          </w:tcPr>
          <w:p w14:paraId="4883E876">
            <w:pPr>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6万元/人/年（包括单位及个人“五险”缴纳金额、基本工资、绩效、其他福利、劳务派遣管理费等全部费用）</w:t>
            </w:r>
          </w:p>
        </w:tc>
      </w:tr>
      <w:tr w14:paraId="6E49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851" w:type="dxa"/>
            <w:vAlign w:val="center"/>
          </w:tcPr>
          <w:p w14:paraId="6D905663">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2</w:t>
            </w:r>
          </w:p>
        </w:tc>
        <w:tc>
          <w:tcPr>
            <w:tcW w:w="1268" w:type="dxa"/>
            <w:vAlign w:val="center"/>
          </w:tcPr>
          <w:p w14:paraId="78796311">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办案系统操作人员</w:t>
            </w:r>
          </w:p>
        </w:tc>
        <w:tc>
          <w:tcPr>
            <w:tcW w:w="788" w:type="dxa"/>
            <w:vAlign w:val="center"/>
          </w:tcPr>
          <w:p w14:paraId="04EA043B">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2</w:t>
            </w:r>
          </w:p>
        </w:tc>
        <w:tc>
          <w:tcPr>
            <w:tcW w:w="5485" w:type="dxa"/>
            <w:vAlign w:val="center"/>
          </w:tcPr>
          <w:p w14:paraId="2EA95376">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1.年龄：</w:t>
            </w:r>
            <w:r>
              <w:rPr>
                <w:rFonts w:hint="eastAsia" w:eastAsia="仿宋_GB2312"/>
                <w:color w:val="000000" w:themeColor="text1"/>
                <w:sz w:val="24"/>
                <w14:textFill>
                  <w14:solidFill>
                    <w14:schemeClr w14:val="tx1"/>
                  </w14:solidFill>
                </w14:textFill>
              </w:rPr>
              <w:t>1986年9月29日及以后出生</w:t>
            </w:r>
            <w:r>
              <w:rPr>
                <w:rFonts w:eastAsia="仿宋_GB2312"/>
                <w:color w:val="000000" w:themeColor="text1"/>
                <w:sz w:val="24"/>
                <w14:textFill>
                  <w14:solidFill>
                    <w14:schemeClr w14:val="tx1"/>
                  </w14:solidFill>
                </w14:textFill>
              </w:rPr>
              <w:t>。</w:t>
            </w:r>
          </w:p>
          <w:p w14:paraId="221AB230">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2.学历：大学本科及以上学历，并取得相应学位。</w:t>
            </w:r>
          </w:p>
          <w:p w14:paraId="3BC4AC3D">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3.</w:t>
            </w:r>
            <w:r>
              <w:rPr>
                <w:rFonts w:hint="eastAsia" w:eastAsia="仿宋_GB2312"/>
                <w:color w:val="000000" w:themeColor="text1"/>
                <w:sz w:val="24"/>
                <w14:textFill>
                  <w14:solidFill>
                    <w14:schemeClr w14:val="tx1"/>
                  </w14:solidFill>
                </w14:textFill>
              </w:rPr>
              <w:t>本科</w:t>
            </w:r>
            <w:r>
              <w:rPr>
                <w:rFonts w:eastAsia="仿宋_GB2312"/>
                <w:color w:val="000000" w:themeColor="text1"/>
                <w:sz w:val="24"/>
                <w14:textFill>
                  <w14:solidFill>
                    <w14:schemeClr w14:val="tx1"/>
                  </w14:solidFill>
                </w14:textFill>
              </w:rPr>
              <w:t>专业：计算机类，信息工程、信息管理与信息系统</w:t>
            </w:r>
            <w:r>
              <w:rPr>
                <w:rFonts w:hint="eastAsia" w:eastAsia="仿宋_GB2312"/>
                <w:color w:val="000000" w:themeColor="text1"/>
                <w:sz w:val="24"/>
                <w14:textFill>
                  <w14:solidFill>
                    <w14:schemeClr w14:val="tx1"/>
                  </w14:solidFill>
                </w14:textFill>
              </w:rPr>
              <w:t>；</w:t>
            </w:r>
          </w:p>
          <w:p w14:paraId="645E8E6E">
            <w:pP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研究生专业：计算机科学与技术类、信息与通信工程类。</w:t>
            </w:r>
          </w:p>
        </w:tc>
        <w:tc>
          <w:tcPr>
            <w:tcW w:w="2197" w:type="dxa"/>
            <w:gridSpan w:val="2"/>
            <w:vAlign w:val="center"/>
          </w:tcPr>
          <w:p w14:paraId="24C2F89E">
            <w:pPr>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6万元/人/年（包括单位及个人“五险”缴纳金额、基本工资、绩效、其他福利、劳务派遣管理费等全部费用）</w:t>
            </w:r>
          </w:p>
        </w:tc>
      </w:tr>
      <w:tr w14:paraId="3CD8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jc w:val="center"/>
        </w:trPr>
        <w:tc>
          <w:tcPr>
            <w:tcW w:w="851" w:type="dxa"/>
            <w:tcBorders>
              <w:bottom w:val="single" w:color="auto" w:sz="4" w:space="0"/>
            </w:tcBorders>
            <w:vAlign w:val="center"/>
          </w:tcPr>
          <w:p w14:paraId="5D6C932D">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3</w:t>
            </w:r>
          </w:p>
        </w:tc>
        <w:tc>
          <w:tcPr>
            <w:tcW w:w="1268" w:type="dxa"/>
            <w:tcBorders>
              <w:bottom w:val="single" w:color="auto" w:sz="4" w:space="0"/>
            </w:tcBorders>
            <w:vAlign w:val="center"/>
          </w:tcPr>
          <w:p w14:paraId="12FF3F8A">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劳动纠纷调解人员</w:t>
            </w:r>
          </w:p>
        </w:tc>
        <w:tc>
          <w:tcPr>
            <w:tcW w:w="788" w:type="dxa"/>
            <w:tcBorders>
              <w:bottom w:val="single" w:color="auto" w:sz="4" w:space="0"/>
            </w:tcBorders>
            <w:vAlign w:val="center"/>
          </w:tcPr>
          <w:p w14:paraId="02657AE5">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6</w:t>
            </w:r>
          </w:p>
        </w:tc>
        <w:tc>
          <w:tcPr>
            <w:tcW w:w="5485" w:type="dxa"/>
            <w:tcBorders>
              <w:bottom w:val="single" w:color="auto" w:sz="4" w:space="0"/>
            </w:tcBorders>
            <w:vAlign w:val="center"/>
          </w:tcPr>
          <w:p w14:paraId="7709778D">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1.年龄：</w:t>
            </w:r>
            <w:r>
              <w:rPr>
                <w:rFonts w:hint="eastAsia" w:eastAsia="仿宋_GB2312"/>
                <w:color w:val="000000" w:themeColor="text1"/>
                <w:sz w:val="24"/>
                <w14:textFill>
                  <w14:solidFill>
                    <w14:schemeClr w14:val="tx1"/>
                  </w14:solidFill>
                </w14:textFill>
              </w:rPr>
              <w:t>1986年9月29日及以后出生</w:t>
            </w:r>
            <w:r>
              <w:rPr>
                <w:rFonts w:eastAsia="仿宋_GB2312"/>
                <w:color w:val="000000" w:themeColor="text1"/>
                <w:sz w:val="24"/>
                <w14:textFill>
                  <w14:solidFill>
                    <w14:schemeClr w14:val="tx1"/>
                  </w14:solidFill>
                </w14:textFill>
              </w:rPr>
              <w:t>。</w:t>
            </w:r>
          </w:p>
          <w:p w14:paraId="0E2C6F73">
            <w:pPr>
              <w:rPr>
                <w:rFonts w:eastAsia="仿宋_GB2312"/>
                <w:strike/>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2.学历：大学本科及以上学历，并取得相应学位。</w:t>
            </w:r>
          </w:p>
          <w:p w14:paraId="0B667584">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3.</w:t>
            </w:r>
            <w:r>
              <w:rPr>
                <w:rFonts w:hint="eastAsia" w:eastAsia="仿宋_GB2312"/>
                <w:color w:val="000000" w:themeColor="text1"/>
                <w:sz w:val="24"/>
                <w14:textFill>
                  <w14:solidFill>
                    <w14:schemeClr w14:val="tx1"/>
                  </w14:solidFill>
                </w14:textFill>
              </w:rPr>
              <w:t>本科</w:t>
            </w:r>
            <w:r>
              <w:rPr>
                <w:rFonts w:eastAsia="仿宋_GB2312"/>
                <w:color w:val="000000" w:themeColor="text1"/>
                <w:sz w:val="24"/>
                <w14:textFill>
                  <w14:solidFill>
                    <w14:schemeClr w14:val="tx1"/>
                  </w14:solidFill>
                </w14:textFill>
              </w:rPr>
              <w:t>专业：法学、政治学与行政学、劳动与社会保障、人力资源管理、</w:t>
            </w:r>
            <w:r>
              <w:rPr>
                <w:rFonts w:hint="eastAsia" w:eastAsia="仿宋_GB2312"/>
                <w:color w:val="000000" w:themeColor="text1"/>
                <w:sz w:val="24"/>
                <w14:textFill>
                  <w14:solidFill>
                    <w14:schemeClr w14:val="tx1"/>
                  </w14:solidFill>
                </w14:textFill>
              </w:rPr>
              <w:t>工商管理</w:t>
            </w:r>
            <w:r>
              <w:rPr>
                <w:rFonts w:eastAsia="仿宋_GB2312"/>
                <w:color w:val="000000" w:themeColor="text1"/>
                <w:sz w:val="24"/>
                <w14:textFill>
                  <w14:solidFill>
                    <w14:schemeClr w14:val="tx1"/>
                  </w14:solidFill>
                </w14:textFill>
              </w:rPr>
              <w:t>、社会工作</w:t>
            </w:r>
            <w:r>
              <w:rPr>
                <w:rFonts w:hint="eastAsia" w:eastAsia="仿宋_GB2312"/>
                <w:color w:val="000000" w:themeColor="text1"/>
                <w:sz w:val="24"/>
                <w14:textFill>
                  <w14:solidFill>
                    <w14:schemeClr w14:val="tx1"/>
                  </w14:solidFill>
                </w14:textFill>
              </w:rPr>
              <w:t>、工程造价；</w:t>
            </w:r>
          </w:p>
          <w:p w14:paraId="01540659">
            <w:pP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研究生专业：法学、</w:t>
            </w:r>
            <w:r>
              <w:rPr>
                <w:rFonts w:eastAsia="仿宋_GB2312"/>
                <w:color w:val="000000" w:themeColor="text1"/>
                <w:sz w:val="24"/>
                <w14:textFill>
                  <w14:solidFill>
                    <w14:schemeClr w14:val="tx1"/>
                  </w14:solidFill>
                </w14:textFill>
              </w:rPr>
              <w:t>法学理论、宪法学与行政法学、社会保障、法律、公共管理</w:t>
            </w:r>
            <w:r>
              <w:rPr>
                <w:rFonts w:hint="eastAsia" w:eastAsia="仿宋_GB2312"/>
                <w:color w:val="000000" w:themeColor="text1"/>
                <w:sz w:val="24"/>
                <w14:textFill>
                  <w14:solidFill>
                    <w14:schemeClr w14:val="tx1"/>
                  </w14:solidFill>
                </w14:textFill>
              </w:rPr>
              <w:t>学。</w:t>
            </w:r>
          </w:p>
          <w:p w14:paraId="1D510C9B">
            <w:pPr>
              <w:rPr>
                <w:rFonts w:eastAsia="仿宋_GB2312"/>
                <w:color w:val="000000" w:themeColor="text1"/>
                <w:sz w:val="24"/>
                <w14:textFill>
                  <w14:solidFill>
                    <w14:schemeClr w14:val="tx1"/>
                  </w14:solidFill>
                </w14:textFill>
              </w:rPr>
            </w:pPr>
          </w:p>
          <w:p w14:paraId="692235BF">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注：持有律师</w:t>
            </w:r>
            <w:r>
              <w:rPr>
                <w:rFonts w:hint="eastAsia" w:eastAsia="仿宋_GB2312"/>
                <w:color w:val="000000" w:themeColor="text1"/>
                <w:sz w:val="24"/>
                <w14:textFill>
                  <w14:solidFill>
                    <w14:schemeClr w14:val="tx1"/>
                  </w14:solidFill>
                </w14:textFill>
              </w:rPr>
              <w:t>执业</w:t>
            </w:r>
            <w:r>
              <w:rPr>
                <w:rFonts w:eastAsia="仿宋_GB2312"/>
                <w:color w:val="000000" w:themeColor="text1"/>
                <w:sz w:val="24"/>
                <w14:textFill>
                  <w14:solidFill>
                    <w14:schemeClr w14:val="tx1"/>
                  </w14:solidFill>
                </w14:textFill>
              </w:rPr>
              <w:t>证、劳动纠纷调解员证、参加县级及以上人社部门组织的劳动纠纷调解员培训并通过资格考试人员不限专业。</w:t>
            </w:r>
          </w:p>
        </w:tc>
        <w:tc>
          <w:tcPr>
            <w:tcW w:w="2197" w:type="dxa"/>
            <w:gridSpan w:val="2"/>
            <w:tcBorders>
              <w:bottom w:val="single" w:color="auto" w:sz="4" w:space="0"/>
            </w:tcBorders>
            <w:vAlign w:val="center"/>
          </w:tcPr>
          <w:p w14:paraId="76A2B8DC">
            <w:pPr>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6万元/人/年（包括单位及个人“五险”缴纳金额、基本工资、绩效、其他福利、劳务派遣管理费等全部费用）</w:t>
            </w:r>
          </w:p>
        </w:tc>
      </w:tr>
      <w:tr w14:paraId="1515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6" w:type="dxa"/>
          <w:trHeight w:val="1737" w:hRule="atLeast"/>
          <w:jc w:val="center"/>
        </w:trPr>
        <w:tc>
          <w:tcPr>
            <w:tcW w:w="10413" w:type="dxa"/>
            <w:gridSpan w:val="5"/>
            <w:tcBorders>
              <w:top w:val="single" w:color="auto" w:sz="4" w:space="0"/>
              <w:left w:val="nil"/>
              <w:bottom w:val="nil"/>
              <w:right w:val="nil"/>
            </w:tcBorders>
            <w:vAlign w:val="center"/>
          </w:tcPr>
          <w:p w14:paraId="0CAA43EC">
            <w:pPr>
              <w:widowControl/>
              <w:spacing w:line="400" w:lineRule="exact"/>
              <w:jc w:val="left"/>
              <w:rPr>
                <w:rFonts w:eastAsia="仿宋_GB2312"/>
                <w:b/>
                <w:color w:val="000000" w:themeColor="text1"/>
                <w:sz w:val="28"/>
                <w:szCs w:val="28"/>
                <w14:textFill>
                  <w14:solidFill>
                    <w14:schemeClr w14:val="tx1"/>
                  </w14:solidFill>
                </w14:textFill>
              </w:rPr>
            </w:pPr>
            <w:r>
              <w:rPr>
                <w:rFonts w:eastAsia="仿宋_GB2312"/>
                <w:b/>
                <w:color w:val="000000" w:themeColor="text1"/>
                <w:sz w:val="28"/>
                <w:szCs w:val="28"/>
                <w14:textFill>
                  <w14:solidFill>
                    <w14:schemeClr w14:val="tx1"/>
                  </w14:solidFill>
                </w14:textFill>
              </w:rPr>
              <w:t>注：1.年龄以有效身份证记载为准。</w:t>
            </w:r>
          </w:p>
          <w:p w14:paraId="6F6BAD5C">
            <w:pPr>
              <w:widowControl/>
              <w:spacing w:line="400" w:lineRule="exact"/>
              <w:jc w:val="left"/>
              <w:rPr>
                <w:rFonts w:eastAsia="仿宋_GB2312"/>
                <w:color w:val="000000" w:themeColor="text1"/>
                <w:sz w:val="24"/>
                <w14:textFill>
                  <w14:solidFill>
                    <w14:schemeClr w14:val="tx1"/>
                  </w14:solidFill>
                </w14:textFill>
              </w:rPr>
            </w:pPr>
            <w:r>
              <w:rPr>
                <w:rFonts w:eastAsia="仿宋_GB2312"/>
                <w:b/>
                <w:color w:val="000000" w:themeColor="text1"/>
                <w:sz w:val="28"/>
                <w:szCs w:val="28"/>
                <w14:textFill>
                  <w14:solidFill>
                    <w14:schemeClr w14:val="tx1"/>
                  </w14:solidFill>
                </w14:textFill>
              </w:rPr>
              <w:t xml:space="preserve">    2.上述经费预算非薪酬，</w:t>
            </w:r>
            <w:r>
              <w:rPr>
                <w:rFonts w:hint="eastAsia" w:eastAsia="仿宋_GB2312"/>
                <w:b/>
                <w:color w:val="000000" w:themeColor="text1"/>
                <w:sz w:val="28"/>
                <w:szCs w:val="28"/>
                <w14:textFill>
                  <w14:solidFill>
                    <w14:schemeClr w14:val="tx1"/>
                  </w14:solidFill>
                </w14:textFill>
              </w:rPr>
              <w:t>实际</w:t>
            </w:r>
            <w:r>
              <w:rPr>
                <w:rFonts w:eastAsia="仿宋_GB2312"/>
                <w:b/>
                <w:color w:val="000000" w:themeColor="text1"/>
                <w:sz w:val="28"/>
                <w:szCs w:val="28"/>
                <w14:textFill>
                  <w14:solidFill>
                    <w14:schemeClr w14:val="tx1"/>
                  </w14:solidFill>
                </w14:textFill>
              </w:rPr>
              <w:t>工资以与劳务公司签订的劳动合同为准。</w:t>
            </w:r>
          </w:p>
        </w:tc>
      </w:tr>
    </w:tbl>
    <w:p w14:paraId="15501CA9">
      <w:pPr>
        <w:tabs>
          <w:tab w:val="left" w:pos="351"/>
        </w:tabs>
        <w:rPr>
          <w:color w:val="000000" w:themeColor="text1"/>
          <w14:textFill>
            <w14:solidFill>
              <w14:schemeClr w14:val="tx1"/>
            </w14:solidFill>
          </w14:textFill>
        </w:rPr>
        <w:sectPr>
          <w:footerReference r:id="rId3" w:type="default"/>
          <w:pgSz w:w="11906" w:h="16838"/>
          <w:pgMar w:top="1440" w:right="1800" w:bottom="1440" w:left="1800" w:header="851" w:footer="992" w:gutter="0"/>
          <w:pgNumType w:fmt="numberInDash"/>
          <w:cols w:space="425" w:num="1"/>
          <w:docGrid w:type="lines" w:linePitch="312" w:charSpace="0"/>
        </w:sectPr>
      </w:pPr>
    </w:p>
    <w:p w14:paraId="0BC9D32D">
      <w:pPr>
        <w:pStyle w:val="2"/>
        <w:rPr>
          <w:color w:val="000000" w:themeColor="text1"/>
          <w14:textFill>
            <w14:solidFill>
              <w14:schemeClr w14:val="tx1"/>
            </w14:solidFill>
          </w14:textFill>
        </w:rPr>
      </w:pPr>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69C1A">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84672">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- 7 -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BD84672">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- 7 -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80ABE"/>
    <w:rsid w:val="000030BD"/>
    <w:rsid w:val="0004657A"/>
    <w:rsid w:val="00051DDB"/>
    <w:rsid w:val="00067CC2"/>
    <w:rsid w:val="00091BC7"/>
    <w:rsid w:val="00094731"/>
    <w:rsid w:val="000B3D16"/>
    <w:rsid w:val="000E239E"/>
    <w:rsid w:val="001250DD"/>
    <w:rsid w:val="0019511B"/>
    <w:rsid w:val="0026595F"/>
    <w:rsid w:val="00275C3A"/>
    <w:rsid w:val="002C74B9"/>
    <w:rsid w:val="002F1373"/>
    <w:rsid w:val="003C5A0F"/>
    <w:rsid w:val="003C65EB"/>
    <w:rsid w:val="003F3DEB"/>
    <w:rsid w:val="00432651"/>
    <w:rsid w:val="004F0BCE"/>
    <w:rsid w:val="00516D52"/>
    <w:rsid w:val="00517F1E"/>
    <w:rsid w:val="00564875"/>
    <w:rsid w:val="00593FF7"/>
    <w:rsid w:val="005C14DF"/>
    <w:rsid w:val="006B281A"/>
    <w:rsid w:val="006E7259"/>
    <w:rsid w:val="008E563A"/>
    <w:rsid w:val="00913BCB"/>
    <w:rsid w:val="00993953"/>
    <w:rsid w:val="0099558B"/>
    <w:rsid w:val="009B0CF0"/>
    <w:rsid w:val="00A01AE8"/>
    <w:rsid w:val="00A05B62"/>
    <w:rsid w:val="00A07CEF"/>
    <w:rsid w:val="00A46265"/>
    <w:rsid w:val="00A6423D"/>
    <w:rsid w:val="00A960E1"/>
    <w:rsid w:val="00B47230"/>
    <w:rsid w:val="00BD4085"/>
    <w:rsid w:val="00BE31B4"/>
    <w:rsid w:val="00BE493E"/>
    <w:rsid w:val="00CB3593"/>
    <w:rsid w:val="00CB4C2A"/>
    <w:rsid w:val="00CB4D27"/>
    <w:rsid w:val="00D76E5E"/>
    <w:rsid w:val="00DF5F09"/>
    <w:rsid w:val="00E770AD"/>
    <w:rsid w:val="00EB1071"/>
    <w:rsid w:val="00F44EFE"/>
    <w:rsid w:val="00F52808"/>
    <w:rsid w:val="00FC4B58"/>
    <w:rsid w:val="01A7022B"/>
    <w:rsid w:val="02E62FD5"/>
    <w:rsid w:val="0332621A"/>
    <w:rsid w:val="03A34A22"/>
    <w:rsid w:val="044C330C"/>
    <w:rsid w:val="05777F14"/>
    <w:rsid w:val="05D13AC9"/>
    <w:rsid w:val="05F41565"/>
    <w:rsid w:val="06D51397"/>
    <w:rsid w:val="06F832D7"/>
    <w:rsid w:val="07100621"/>
    <w:rsid w:val="073C31C4"/>
    <w:rsid w:val="0869623A"/>
    <w:rsid w:val="08A76D63"/>
    <w:rsid w:val="093525C0"/>
    <w:rsid w:val="09903C9B"/>
    <w:rsid w:val="0A3910B7"/>
    <w:rsid w:val="0A5D3B7D"/>
    <w:rsid w:val="0BAA1044"/>
    <w:rsid w:val="0BF91683"/>
    <w:rsid w:val="0CBD0903"/>
    <w:rsid w:val="0DC7755F"/>
    <w:rsid w:val="0EC8358F"/>
    <w:rsid w:val="0F900551"/>
    <w:rsid w:val="0F9A5F3C"/>
    <w:rsid w:val="1021564D"/>
    <w:rsid w:val="10264A11"/>
    <w:rsid w:val="12244F80"/>
    <w:rsid w:val="12CE33A7"/>
    <w:rsid w:val="13051255"/>
    <w:rsid w:val="130A061A"/>
    <w:rsid w:val="14700951"/>
    <w:rsid w:val="14B52807"/>
    <w:rsid w:val="15237771"/>
    <w:rsid w:val="152754B3"/>
    <w:rsid w:val="15AA7E92"/>
    <w:rsid w:val="171C6B6E"/>
    <w:rsid w:val="17237EFC"/>
    <w:rsid w:val="17681DB3"/>
    <w:rsid w:val="17CC2342"/>
    <w:rsid w:val="17F31590"/>
    <w:rsid w:val="183323C1"/>
    <w:rsid w:val="18463EA2"/>
    <w:rsid w:val="191E6BCD"/>
    <w:rsid w:val="1A8B0292"/>
    <w:rsid w:val="1AA66F8F"/>
    <w:rsid w:val="1B9238A2"/>
    <w:rsid w:val="1BA23AE5"/>
    <w:rsid w:val="1BEE6D2B"/>
    <w:rsid w:val="1C6963B1"/>
    <w:rsid w:val="1E803E86"/>
    <w:rsid w:val="1F29007A"/>
    <w:rsid w:val="1F443106"/>
    <w:rsid w:val="1F680BA2"/>
    <w:rsid w:val="2241392C"/>
    <w:rsid w:val="259049AF"/>
    <w:rsid w:val="266320C3"/>
    <w:rsid w:val="26F62F37"/>
    <w:rsid w:val="26F70A5D"/>
    <w:rsid w:val="27E47234"/>
    <w:rsid w:val="29EE6148"/>
    <w:rsid w:val="2AB54EB7"/>
    <w:rsid w:val="2CB25B52"/>
    <w:rsid w:val="2D2500D2"/>
    <w:rsid w:val="2D6D7CCB"/>
    <w:rsid w:val="2D88240F"/>
    <w:rsid w:val="2DBA2F11"/>
    <w:rsid w:val="2DDB2E87"/>
    <w:rsid w:val="2E0A72D8"/>
    <w:rsid w:val="2E102A7C"/>
    <w:rsid w:val="2E5F5866"/>
    <w:rsid w:val="2EBE07DF"/>
    <w:rsid w:val="2FC35981"/>
    <w:rsid w:val="305807BF"/>
    <w:rsid w:val="31091AB9"/>
    <w:rsid w:val="31E71DFA"/>
    <w:rsid w:val="332E3A59"/>
    <w:rsid w:val="338D4C23"/>
    <w:rsid w:val="36363350"/>
    <w:rsid w:val="3825542A"/>
    <w:rsid w:val="3848736B"/>
    <w:rsid w:val="391B4A7F"/>
    <w:rsid w:val="3A775CE5"/>
    <w:rsid w:val="3A920D71"/>
    <w:rsid w:val="3ABB02C8"/>
    <w:rsid w:val="3BCB1E61"/>
    <w:rsid w:val="3C3A521C"/>
    <w:rsid w:val="3C9E39FD"/>
    <w:rsid w:val="3DA60DBB"/>
    <w:rsid w:val="3DAE7C70"/>
    <w:rsid w:val="3DCC459A"/>
    <w:rsid w:val="3FEF631E"/>
    <w:rsid w:val="4012098A"/>
    <w:rsid w:val="4114428E"/>
    <w:rsid w:val="41537E0A"/>
    <w:rsid w:val="42731488"/>
    <w:rsid w:val="447D65EE"/>
    <w:rsid w:val="448B0D0B"/>
    <w:rsid w:val="44983428"/>
    <w:rsid w:val="44A616A1"/>
    <w:rsid w:val="45B85B30"/>
    <w:rsid w:val="45C75D73"/>
    <w:rsid w:val="45E3156E"/>
    <w:rsid w:val="47606676"/>
    <w:rsid w:val="483911A6"/>
    <w:rsid w:val="4860425D"/>
    <w:rsid w:val="49731D6E"/>
    <w:rsid w:val="4A2D016F"/>
    <w:rsid w:val="4A5D0A54"/>
    <w:rsid w:val="4ACB00B3"/>
    <w:rsid w:val="4BE86A43"/>
    <w:rsid w:val="4E4168DE"/>
    <w:rsid w:val="4EF456FF"/>
    <w:rsid w:val="51183927"/>
    <w:rsid w:val="51D830B6"/>
    <w:rsid w:val="51E657D3"/>
    <w:rsid w:val="52505342"/>
    <w:rsid w:val="52E37F64"/>
    <w:rsid w:val="532E7431"/>
    <w:rsid w:val="54971006"/>
    <w:rsid w:val="56CD6F61"/>
    <w:rsid w:val="57180ABE"/>
    <w:rsid w:val="59413C36"/>
    <w:rsid w:val="5A427C66"/>
    <w:rsid w:val="5AA1498D"/>
    <w:rsid w:val="5D235B2D"/>
    <w:rsid w:val="5EF22017"/>
    <w:rsid w:val="5F221E14"/>
    <w:rsid w:val="5FBA204D"/>
    <w:rsid w:val="608A7D1E"/>
    <w:rsid w:val="60D84E80"/>
    <w:rsid w:val="61665FE8"/>
    <w:rsid w:val="61A84853"/>
    <w:rsid w:val="61B45F55"/>
    <w:rsid w:val="61BC02FE"/>
    <w:rsid w:val="62C456BC"/>
    <w:rsid w:val="63091321"/>
    <w:rsid w:val="63B35731"/>
    <w:rsid w:val="63D00091"/>
    <w:rsid w:val="64055F8C"/>
    <w:rsid w:val="64D836A1"/>
    <w:rsid w:val="660B1854"/>
    <w:rsid w:val="662446C4"/>
    <w:rsid w:val="66FB5425"/>
    <w:rsid w:val="687E455F"/>
    <w:rsid w:val="68B910F3"/>
    <w:rsid w:val="6B113469"/>
    <w:rsid w:val="6B8974A3"/>
    <w:rsid w:val="6BA442DD"/>
    <w:rsid w:val="6BBA3B00"/>
    <w:rsid w:val="6BC06C3D"/>
    <w:rsid w:val="6D090170"/>
    <w:rsid w:val="6E510020"/>
    <w:rsid w:val="6FE4258E"/>
    <w:rsid w:val="700215D2"/>
    <w:rsid w:val="70FC0717"/>
    <w:rsid w:val="728E2143"/>
    <w:rsid w:val="733F2B3D"/>
    <w:rsid w:val="73920EBF"/>
    <w:rsid w:val="73BC418E"/>
    <w:rsid w:val="743261FE"/>
    <w:rsid w:val="748E78D8"/>
    <w:rsid w:val="749018A2"/>
    <w:rsid w:val="75D91027"/>
    <w:rsid w:val="77512E3F"/>
    <w:rsid w:val="778356EE"/>
    <w:rsid w:val="77C43611"/>
    <w:rsid w:val="78226E6B"/>
    <w:rsid w:val="782D7408"/>
    <w:rsid w:val="7924717C"/>
    <w:rsid w:val="7A20252B"/>
    <w:rsid w:val="7A28432B"/>
    <w:rsid w:val="7A3C1B84"/>
    <w:rsid w:val="7A5769BE"/>
    <w:rsid w:val="7B3B62E0"/>
    <w:rsid w:val="7BE10C35"/>
    <w:rsid w:val="7BEB1AB4"/>
    <w:rsid w:val="7D881690"/>
    <w:rsid w:val="7DC12ACC"/>
    <w:rsid w:val="7E7C2E97"/>
    <w:rsid w:val="7EB97C47"/>
    <w:rsid w:val="7F232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3419</Words>
  <Characters>3637</Characters>
  <Lines>31</Lines>
  <Paragraphs>8</Paragraphs>
  <TotalTime>1</TotalTime>
  <ScaleCrop>false</ScaleCrop>
  <LinksUpToDate>false</LinksUpToDate>
  <CharactersWithSpaces>3788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2024-08-26T08:48:00Z</dcterms:created>
  <dc:creator>蒋琴</dc:creator>
  <cp:lastModifiedBy>琴声</cp:lastModifiedBy>
  <dcterms:modified xsi:type="dcterms:W3CDTF">2025-09-28T08:38:36Z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eyJoZGlkIjoiMWE5OWY3OWQyNTZhY2RkZjM3NGFmZDViNDc1YTRkMTUiLCJ1c2VySWQiOiIyNTY0Mzg1NjUifQ==</vt:lpwstr>
  </property>
  <property fmtid="{D5CDD505-2E9C-101B-9397-08002B2CF9AE}" pid="4" name="ICV">
    <vt:lpwstr>91E4A3EA3A394E5596BDB0CD22E093CA_13</vt:lpwstr>
  </property>
</Properties>
</file>