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湖北省公安机关2025年考试录用特殊职位公务员（人民警察）狙击、排爆、搏击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职位专业技能</w:t>
      </w: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测试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狙击职位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狙击职位专业技能测试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项目为3000米徒手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跑、95-1突击步枪射击和狙击步枪射击。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3000米徒手跑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场地：400米跑道。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2.测试方法：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分组开展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按考官指令在起跑线集合，采用站立式起跑，两脚不超过起跑线，不得穿钉鞋，独立完成测试。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按考官下达的口令实施，不得抢跑。同组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，第一次有人被认定抢跑的予以警告，同组所有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均需返回重跑；从第二次起跑开始，无论何人再次出现抢跑，抢跑者当场罚出并取消该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测试资格，同组所有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均需返回重跑。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在跑步的过程中不得借助任何外力，一旦发现</w:t>
      </w:r>
      <w:r>
        <w:rPr>
          <w:rFonts w:hint="default" w:ascii="Times New Roman" w:hAnsi="Times New Roman" w:eastAsia="FangSong_GB2312" w:cs="Times New Roman"/>
          <w:kern w:val="0"/>
          <w:sz w:val="32"/>
          <w:szCs w:val="32"/>
        </w:rPr>
        <w:t>考生有受人推拉或帮助他人推拉的动作，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受助双方将同时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取消该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成绩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用时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成绩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用时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9′30″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10′32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9′38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10′36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9′42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10′44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9′44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10′48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9′46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10′52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9′48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10′56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9′50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9′52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11′04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9′54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9′56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9′59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11′16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″</w:t>
            </w:r>
          </w:p>
        </w:tc>
        <w:tc>
          <w:tcPr>
            <w:tcW w:w="18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未达到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最低档次标准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的，不得进入下一轮测试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</w:rPr>
        <w:t>95-1突击步枪射击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射击条件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使用95-1突击步枪，采取三种姿势（卧、跪、立）对不同距离的胸环靶进行射击。测试时间为3分钟30秒。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测试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正式测试前，统一组织操作使用讲解示范，并组织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进行3分钟训练，试射3发子弹确认弹着点。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正式测试使用靶纸1张，统一编号并由考官签字。枪支放于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射击地线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在其后2米立姿准备。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到“开始”口令后，自行按压计时器开始计时，在100米射击地线处徒手跑动至50米射击地线取弹1发（期间翻越人字高板），后跑回（期间翻越人字高板）至100米射击地线射击区域，取弹匣、压弹，卧姿枪弹结合，完成1发卧姿射击，接着携枪按指定路线跑动至75米射击地线取弹，压弹，自行枪弹结合（期间穿越轮胎障碍），利用掩体完成1发跪姿射击。接着携枪按指定路线跑动至50米射击地线取弹、压弹，自行枪弹结合，完成3发立姿射击，验枪（枪栓复位）关闭保险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徒手返回至100米射击地线起点位置按压计时器，计时结束。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考官下达“停止”口令后，应停止射击。继续射击的，每射击1次扣除10环。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射击过程中，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自行排除枪械故障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操作失误，视为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，按当前实际射击环数计算成绩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；属枪械机件故障或其它原因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，需经考官组确定后，方可按规定条件重新测试。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计分标准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胸环靶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100分，每少1环减2分，环线以外区域不计环数；弹着点涉及两个区域的就高计算环数。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安全技术守则</w:t>
      </w:r>
      <w:bookmarkEnd w:id="0"/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须按照《公安民警警械武器使用训练教程》有关要求，严格遵守枪支安全操作规定。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侧后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安排一名安全员，发现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违反安全操作规则会及时提醒并警告，经提醒不纠正的经主考官确认取消测试资格。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（3）发生以下情形的，考生命中目标无效：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①射击时，身体和枪支越过射击地线的；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②规定射击时间到，在发出“停止”口令后命中的；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③未按流程进行的。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发生以下情形的，取消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测试资格：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未按规定时间测试，现场点名3次未到的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顶撞考官，不服从指挥的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存在舞弊行为的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受酒精或其它违禁药物影响的。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</w:rPr>
        <w:t>狙击步枪射击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射击条件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使用CS/LR4型7.62毫米高精度狙击步枪，90秒内，对100米外的狙击靶进行射击。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射击使用原枪配备的脚架，不得使用其它依托物；射击过程中，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在保持卧姿不变的情况下，可通过调节枪瞄上的变倍手轮观察弹着点，不得使用其它自带器材，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射击时可以使用手套。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不得调节瞄准镜上的上调整、右调整手轮，如有干扰其他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测试、影响考场秩序、有意触碰瞄准镜上的上调整、右调整手轮和出现影响测试公平公正情况的，考官有权直接取消其测试资格。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测试办法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正式测试前，统一组织操作使用讲解示范，并组织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进行3分钟训练，试射3发子弹确认弹着点。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正式测试使用靶纸1张，统一编号并由考官签字。枪支放于射击地线，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在其后2米立姿准备。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听到“开始”口令后，自行按压计时器开始计时，跑至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射击地线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10米处取弹1发，返回射击地线自行射击，随后，枪栓后置，起身跑至10米处，再次取弹1发返回射击地线自行射击。共射击5发。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考官下达“停止”口令后，应停止射击。继续射击的，每射击1次扣除10环。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射击过程中，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自行排除枪械故障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操作失误，视为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，按当前实际射击环数计算成绩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；属枪械机件故障或其它原因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，需经考官组确定后，方可按规定条件重新测试。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计分标准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狙击靶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100分，每少1环减2分，环线以外区域不计环数；弹着点涉及两个区域的就高计算环数。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安全技术守则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与95-1突击步枪射击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要求一致。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成绩计算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狙击职位专业技能测试成绩由3000米徒手跑、95-1突击步枪射击和狙击步枪射击成绩按照一定比例合成，具体如下：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狙击职位专业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技能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测试成绩（满分100分）=3000米徒手跑成绩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×40%+（95-1突击步枪射击成绩+狙击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枪射击成绩）×30%。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排爆职位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排爆职位专业技能测试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项目为3000米徒手跑、爆炸物基础知识、爆炸装置制作和爆炸装置识别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</w:rPr>
        <w:t>3000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</w:rPr>
        <w:t>徒手跑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测试场地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及注意事项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2.计分标准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成绩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用时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成绩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用时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11′30″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79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12′14″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99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11′32″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78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12′18″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98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11′34″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77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12′22″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97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11′36″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76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12′26″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96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11′38″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75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12′30″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95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11′40″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74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12′34″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94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11′42″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73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12′38″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93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11′44″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72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12′42″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92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11′46″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71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12′46″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91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11′48″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70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12′50″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90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11′50″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69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12′54″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89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11′52″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68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12′58″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88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11′54″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13′02″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11′56″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13′06″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86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11′58″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65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13′10″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85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12′00″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64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13′14″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12′02″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13′18″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12′04″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13′22″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12′06″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13′26″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81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12′08″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60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13′30″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12′10″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未达到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最低档次标准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的计0分。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</w:rPr>
        <w:t>爆炸物基础知识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测试方式和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内容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方式为闭卷理论考试，时间50分钟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，满分为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100分。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分单选题、填空题、主观题三部分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内容包括爆炸的概念、分类、特征，常见炸药、火工品的分类、特性，爆炸装置的识别等。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测试方法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left="17" w:leftChars="8" w:firstLine="617" w:firstLineChars="193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禁止携带电子产品、存储设备及通讯工具进入考场。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left="17" w:leftChars="8" w:firstLine="617" w:firstLineChars="193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考试全程录音录像，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在考官监督下随机抽签选取试卷，并按照座位号有序入座，将身份证、准考证等证件放至桌角等待考官核验。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当听到“考试开始”口令时，开始答题，全程应遵守考场纪律，不得交头接耳。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听到“考试结束”口令时，应立刻停止答题，等待考官收取试卷后有序退场。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</w:rPr>
        <w:t>爆炸装置制作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测试方式和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内容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根据现场提供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材料，在规定时间内独立制作一个可以起爆的模拟爆炸装置并绘制电路图，限时20分钟。要求制作的模拟起爆装置为二元并联起爆装置，制作中雷管用蜂鸣器代替，模拟起爆装置类型范围如下：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763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二元起爆爆炸装置</w:t>
            </w:r>
          </w:p>
        </w:tc>
        <w:tc>
          <w:tcPr>
            <w:tcW w:w="3058" w:type="dxa"/>
            <w:noWrap w:val="0"/>
            <w:vAlign w:val="top"/>
          </w:tcPr>
          <w:p>
            <w:pPr>
              <w:spacing w:after="120" w:line="560" w:lineRule="exact"/>
              <w:ind w:left="420" w:leftChars="200"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机械定时+电子定时</w:t>
            </w:r>
          </w:p>
        </w:tc>
        <w:tc>
          <w:tcPr>
            <w:tcW w:w="3058" w:type="dxa"/>
            <w:vMerge w:val="restart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基本型为机械定时、电子定时、松发、遥控、光控5种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机械定时+松发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机械定时+遥控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机械定时+光控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电子定时+松发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电子定时+遥控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电子定时+光控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松发+遥控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松发+光控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4763" w:type="dxa"/>
            <w:noWrap w:val="0"/>
            <w:vAlign w:val="center"/>
          </w:tcPr>
          <w:p>
            <w:pPr>
              <w:spacing w:after="120"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遥控+光控</w:t>
            </w:r>
          </w:p>
        </w:tc>
        <w:tc>
          <w:tcPr>
            <w:tcW w:w="3058" w:type="dxa"/>
            <w:vMerge w:val="continue"/>
            <w:noWrap w:val="0"/>
            <w:vAlign w:val="center"/>
          </w:tcPr>
          <w:p>
            <w:pPr>
              <w:spacing w:after="120" w:line="560" w:lineRule="exact"/>
              <w:ind w:left="420" w:leftChars="200"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测试方法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本测试为现场实操，在专用隔离工位进行，全程录音录像。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测试开始前，由执考考官统一讲解考试规则和注意事项，讲解完毕后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随机抽签确认出场顺序，在引导员的带领下进入准备区。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准备完毕应举手示意，考官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“开始”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口令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按压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计时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器开始计时。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测试开始后，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需根据现场提供的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独立制作一个可以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爆的二元并联模拟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起爆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装置并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绘制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电路图，现场提供包装物为24cm×12cm×18cm木盒，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制作完成后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按压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计时器结束。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时间结束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官下达“考试结束”口令，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停止制作。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分标准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功能实现（10分）：装置能否按预期方式可靠工作，电路是否能正确联通，制作装置与电路图是否一致。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工艺质量（10分）：电路连接规范性、结构稳固性、布线合理性、干扰装置伪装效果。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创新性（5分）：对题目要求的理解深度、设计创新性、技术运用能力。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安全规范（5分）：操作过程中的安全意识、工具使用、现场整洁度。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满分为30分，规定时间内未完成的，计0分。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  <w:t>爆炸装置识别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测试方式和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内容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X光图片中爆炸装置类型的识别（含干扰项）与发火面、发火装置的判定，限时5分钟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测试方法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测试开始前，由执考考官统一讲解考试规则和注意事项，讲解完毕后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随机抽签确认出场顺序，在引导员的带领下进入准备区。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由现场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人员为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穿着EOD-9型排爆服。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排爆服穿着完毕后，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自行按压计时器开始计时，完成25m×2折返跑后到达识图区，观看相应X光射线图片，识图结束后，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需填写答题卡，写明爆炸装置发火面、爆炸装置类型与干扰装置类型。填写完成后，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压计时器结束。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时间结束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官下达“考试结束”口令，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停止测试。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分标准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识别准确性（15分）：是否正确判断爆炸装置类型、干扰装置类型，每答错一个扣5分。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发火面判定（15分）：是否正确判断发火面与发火装置，发火装置判断错误扣5分，发火面判断错误扣15分。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满分为30分，规定时间内未完成的，计0分。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发生以下情形的，取消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测试资格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未按规定时间测试，现场点名3次未到的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顶撞考官，不服从指挥的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存在舞弊行为的。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成绩计算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排爆职位专业技能测试成绩由3000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徒手跑、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爆炸物基础知识、爆炸装置制作和爆炸装置识别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成绩按照一定比例合成，具体如下：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排爆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职位专业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技能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测试成绩（满分100分）=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徒手跑成绩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×20%+（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爆炸物基础知识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×40%+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爆炸装置制作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成绩+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爆炸装置识别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成绩）×80%。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三、搏击职位</w:t>
      </w:r>
    </w:p>
    <w:p>
      <w:pPr>
        <w:pStyle w:val="3"/>
        <w:spacing w:after="0"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搏击职位专业技能测试项目为3000米徒手跑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立定三级蛙跳。</w:t>
      </w:r>
    </w:p>
    <w:p>
      <w:pPr>
        <w:pStyle w:val="3"/>
        <w:spacing w:after="0"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3000米徒手跑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测试场地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及注意事项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成绩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用时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成  绩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用时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100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10′00″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10′38″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10′01″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10′41″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10′02″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10′44″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10′03″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10′47″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10′04″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10′05″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10′54″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10′06″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10′58″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10′07″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11′02″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10′08″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11′06″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10′10″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90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10′12″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11′14″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10′14″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11′18″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10′16″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11′22″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10′18″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11′26″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10′20″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10′22″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10′24″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11′38″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10′26″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11′42″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10′29″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11′46″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10′32″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11′50″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10′35″</w:t>
            </w:r>
          </w:p>
        </w:tc>
        <w:tc>
          <w:tcPr>
            <w:tcW w:w="18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</w:p>
        </w:tc>
        <w:tc>
          <w:tcPr>
            <w:tcW w:w="18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未达到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最低档次标准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的计0分。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立定三级蛙跳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场地：塑胶跑道、沙坑。起跳区至落地区（沙坑）近端的距离，设6米起跳线。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脚立于起跳线后原地起跳，不能踩线，不能有预跳，起跳后连跳三次（均需双脚同时起跳、同时落地），中间不能有停顿，以最后一次落地的身体最近触地点为测量点。以落地点到起跳线的垂直距离计算成绩，每人限测三次，取最佳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3.计分标准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成绩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距离（米）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成绩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距离（米）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100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9.10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9.08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9.06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9.04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9.02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9.00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8.98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8.96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8.94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8.92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70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90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8.90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8.88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8.86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8.84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8.82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8.80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8.78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8.76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8.74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8.72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60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80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8.70</w:t>
            </w:r>
          </w:p>
        </w:tc>
        <w:tc>
          <w:tcPr>
            <w:tcW w:w="18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未达到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最低档次标准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的计0分。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发生以下情形的，取消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测试资格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未按规定时间测试，现场点名3次未到的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顶撞考官，不服从指挥的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存在舞弊行为的。</w:t>
      </w:r>
    </w:p>
    <w:p>
      <w:pPr>
        <w:pStyle w:val="2"/>
        <w:spacing w:line="60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成绩计算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搏击职位专业技能测试成绩由3000米徒手跑、立定三级蛙跳按照一定比例合成，具体如下：</w:t>
      </w:r>
    </w:p>
    <w:p>
      <w:pPr>
        <w:adjustRightInd w:val="0"/>
        <w:snapToGrid w:val="0"/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搏击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职位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专业技能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测试成绩（满分100分）=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3000米徒手跑成绩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%+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立定三级蛙跳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成绩×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jlkNzNkMWQwM2EzNTFiMzJhYzQwMzg0YmMzODEifQ=="/>
  </w:docVars>
  <w:rsids>
    <w:rsidRoot w:val="00000000"/>
    <w:rsid w:val="005A7208"/>
    <w:rsid w:val="00C06A7D"/>
    <w:rsid w:val="03F52369"/>
    <w:rsid w:val="057B2ECA"/>
    <w:rsid w:val="083F3FAD"/>
    <w:rsid w:val="08D613F6"/>
    <w:rsid w:val="0A5D3B7D"/>
    <w:rsid w:val="0B6158EF"/>
    <w:rsid w:val="0B7556F8"/>
    <w:rsid w:val="10BA43DB"/>
    <w:rsid w:val="10D17073"/>
    <w:rsid w:val="128807D2"/>
    <w:rsid w:val="128E5977"/>
    <w:rsid w:val="14D82CC8"/>
    <w:rsid w:val="166A350D"/>
    <w:rsid w:val="17143815"/>
    <w:rsid w:val="186758E2"/>
    <w:rsid w:val="189F36EA"/>
    <w:rsid w:val="1B9A1D66"/>
    <w:rsid w:val="1BBE7284"/>
    <w:rsid w:val="1D9137E4"/>
    <w:rsid w:val="20DE34AC"/>
    <w:rsid w:val="21CD2F3E"/>
    <w:rsid w:val="21FC7CC7"/>
    <w:rsid w:val="23EB430F"/>
    <w:rsid w:val="24D66DC5"/>
    <w:rsid w:val="24E62827"/>
    <w:rsid w:val="25530418"/>
    <w:rsid w:val="292702D5"/>
    <w:rsid w:val="2B0D3331"/>
    <w:rsid w:val="32E2209E"/>
    <w:rsid w:val="344277BC"/>
    <w:rsid w:val="34525525"/>
    <w:rsid w:val="35461EDF"/>
    <w:rsid w:val="37BE35FD"/>
    <w:rsid w:val="38E86458"/>
    <w:rsid w:val="399703BB"/>
    <w:rsid w:val="3B035FAC"/>
    <w:rsid w:val="3E720C9E"/>
    <w:rsid w:val="40745AB2"/>
    <w:rsid w:val="444B4348"/>
    <w:rsid w:val="44840A55"/>
    <w:rsid w:val="477113F9"/>
    <w:rsid w:val="4E281379"/>
    <w:rsid w:val="4F2E04D0"/>
    <w:rsid w:val="506C29B3"/>
    <w:rsid w:val="52AE4D36"/>
    <w:rsid w:val="53091045"/>
    <w:rsid w:val="56D4449B"/>
    <w:rsid w:val="5C34503D"/>
    <w:rsid w:val="605601FE"/>
    <w:rsid w:val="617B2468"/>
    <w:rsid w:val="62F97F3D"/>
    <w:rsid w:val="63F37308"/>
    <w:rsid w:val="64B4710A"/>
    <w:rsid w:val="6532453E"/>
    <w:rsid w:val="654146F0"/>
    <w:rsid w:val="65A215B9"/>
    <w:rsid w:val="6C1825D5"/>
    <w:rsid w:val="6EBC00B6"/>
    <w:rsid w:val="6EE9790F"/>
    <w:rsid w:val="6F432DEE"/>
    <w:rsid w:val="6FFE1AE2"/>
    <w:rsid w:val="70E64A50"/>
    <w:rsid w:val="74607B7D"/>
    <w:rsid w:val="74795BDB"/>
    <w:rsid w:val="766D176F"/>
    <w:rsid w:val="76AF6C28"/>
    <w:rsid w:val="78A059E2"/>
    <w:rsid w:val="79A67FC7"/>
    <w:rsid w:val="79F00B9B"/>
    <w:rsid w:val="7AF465F8"/>
    <w:rsid w:val="7CD633F5"/>
    <w:rsid w:val="7FB44B21"/>
    <w:rsid w:val="7FB5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spacing w:line="24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99"/>
    <w:pPr>
      <w:spacing w:after="120"/>
      <w:ind w:left="200" w:leftChars="200"/>
    </w:pPr>
    <w:rPr>
      <w:rFonts w:ascii="Calibri" w:hAnsi="Calibri" w:eastAsia="宋体"/>
      <w:sz w:val="21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rFonts w:ascii="Calibri" w:hAnsi="Calibri" w:eastAsia="宋体" w:cs="Times New Roman"/>
      <w:szCs w:val="22"/>
    </w:rPr>
  </w:style>
  <w:style w:type="paragraph" w:customStyle="1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customStyle="1" w:styleId="11">
    <w:name w:val="Body Text First Indent1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4252</Words>
  <Characters>5331</Characters>
  <Lines>0</Lines>
  <Paragraphs>0</Paragraphs>
  <TotalTime>11</TotalTime>
  <ScaleCrop>false</ScaleCrop>
  <LinksUpToDate>false</LinksUpToDate>
  <CharactersWithSpaces>5337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2025-09-19T02:42:00Z</dcterms:created>
  <dc:creator>Administrator</dc:creator>
  <cp:lastModifiedBy>Administrator</cp:lastModifiedBy>
  <dcterms:modified xsi:type="dcterms:W3CDTF">2025-09-30T09:26:38Z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DA322E6827514C81B8C9D103FBA37983_12</vt:lpwstr>
  </property>
</Properties>
</file>