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5C941">
      <w:pPr>
        <w:spacing w:after="0" w:line="579" w:lineRule="exact"/>
        <w:rPr>
          <w:rFonts w:hint="eastAsia" w:ascii="方正黑体_GBK" w:eastAsia="方正黑体_GBK"/>
          <w:sz w:val="32"/>
          <w:szCs w:val="32"/>
        </w:rPr>
      </w:pPr>
      <w:r>
        <w:rPr>
          <w:rFonts w:hint="eastAsia" w:ascii="方正黑体_GBK" w:eastAsia="方正黑体_GBK"/>
          <w:sz w:val="32"/>
          <w:szCs w:val="32"/>
        </w:rPr>
        <w:t>附件3</w:t>
      </w:r>
    </w:p>
    <w:p w14:paraId="469B87CA">
      <w:pPr>
        <w:keepNext w:val="0"/>
        <w:keepLines w:val="0"/>
        <w:pageBreakBefore w:val="0"/>
        <w:widowControl w:val="0"/>
        <w:kinsoku/>
        <w:wordWrap/>
        <w:overflowPunct/>
        <w:topLinePunct w:val="0"/>
        <w:autoSpaceDE/>
        <w:autoSpaceDN/>
        <w:bidi w:val="0"/>
        <w:adjustRightInd/>
        <w:snapToGrid/>
        <w:spacing w:after="0" w:line="240" w:lineRule="exact"/>
        <w:textAlignment w:val="auto"/>
      </w:pPr>
    </w:p>
    <w:p w14:paraId="214BEB8E">
      <w:pPr>
        <w:spacing w:after="0" w:line="579" w:lineRule="exact"/>
        <w:jc w:val="center"/>
        <w:rPr>
          <w:rFonts w:hint="eastAsia" w:ascii="方正小标宋_GBK" w:eastAsia="方正小标宋_GBK"/>
          <w:sz w:val="40"/>
          <w:szCs w:val="44"/>
        </w:rPr>
      </w:pPr>
      <w:r>
        <w:rPr>
          <w:rFonts w:hint="eastAsia" w:ascii="方正小标宋_GBK" w:eastAsia="方正小标宋_GBK"/>
          <w:sz w:val="40"/>
          <w:szCs w:val="44"/>
        </w:rPr>
        <w:t>成都经济技术开发区（龙泉驿区）区属国企简介</w:t>
      </w:r>
    </w:p>
    <w:p w14:paraId="093F586B">
      <w:pPr>
        <w:spacing w:after="0" w:line="579" w:lineRule="exact"/>
        <w:ind w:firstLine="440" w:firstLineChars="200"/>
      </w:pPr>
    </w:p>
    <w:p w14:paraId="5EF22836">
      <w:pPr>
        <w:spacing w:after="0" w:line="579" w:lineRule="exact"/>
        <w:ind w:firstLine="640" w:firstLineChars="200"/>
        <w:rPr>
          <w:rFonts w:hint="eastAsia" w:ascii="方正黑体_GBK" w:eastAsia="方正黑体_GBK"/>
          <w:sz w:val="32"/>
          <w:szCs w:val="32"/>
        </w:rPr>
      </w:pPr>
      <w:r>
        <w:rPr>
          <w:rFonts w:hint="eastAsia" w:ascii="方正黑体_GBK" w:eastAsia="方正黑体_GBK"/>
          <w:sz w:val="32"/>
          <w:szCs w:val="32"/>
        </w:rPr>
        <w:t>一、经开国投集团</w:t>
      </w:r>
    </w:p>
    <w:p w14:paraId="4844F5F0">
      <w:pPr>
        <w:spacing w:after="0" w:line="579" w:lineRule="exact"/>
        <w:ind w:firstLine="640" w:firstLineChars="200"/>
        <w:jc w:val="both"/>
        <w:rPr>
          <w:rFonts w:hint="default" w:ascii="Times New Roman" w:hAnsi="Times New Roman" w:eastAsia="方正仿宋_GBK" w:cs="Times New Roman"/>
          <w:sz w:val="32"/>
          <w:szCs w:val="32"/>
        </w:rPr>
      </w:pPr>
      <w:r>
        <w:rPr>
          <w:rFonts w:hint="eastAsia" w:ascii="方正仿宋_GBK" w:eastAsia="方正仿宋_GBK"/>
          <w:sz w:val="32"/>
          <w:szCs w:val="32"/>
        </w:rPr>
        <w:t>成都经开国投集团有限公司</w:t>
      </w:r>
      <w:r>
        <w:rPr>
          <w:rFonts w:hint="default" w:ascii="Times New Roman" w:hAnsi="Times New Roman" w:eastAsia="方正仿宋_GBK" w:cs="Times New Roman"/>
          <w:sz w:val="32"/>
          <w:szCs w:val="32"/>
        </w:rPr>
        <w:t>（以下</w:t>
      </w:r>
      <w:r>
        <w:rPr>
          <w:rFonts w:hint="eastAsia" w:ascii="方正仿宋_GBK" w:hAnsi="方正仿宋_GBK" w:eastAsia="方正仿宋_GBK" w:cs="方正仿宋_GBK"/>
          <w:sz w:val="32"/>
          <w:szCs w:val="32"/>
        </w:rPr>
        <w:t>简称“经开国投集团”）于</w:t>
      </w:r>
      <w:r>
        <w:rPr>
          <w:rFonts w:hint="default" w:ascii="Times New Roman" w:hAnsi="Times New Roman" w:eastAsia="方正仿宋_GBK" w:cs="Times New Roman"/>
          <w:sz w:val="32"/>
          <w:szCs w:val="32"/>
        </w:rPr>
        <w:t>2020年由原区国投公司改组设立，在龙泉驿</w:t>
      </w:r>
      <w:r>
        <w:rPr>
          <w:rFonts w:hint="eastAsia" w:ascii="Times New Roman" w:hAnsi="Times New Roman" w:eastAsia="方正仿宋_GBK" w:cs="Times New Roman"/>
          <w:sz w:val="32"/>
          <w:szCs w:val="32"/>
          <w:lang w:eastAsia="zh-CN"/>
        </w:rPr>
        <w:t>区委、区政府</w:t>
      </w:r>
      <w:r>
        <w:rPr>
          <w:rFonts w:hint="default" w:ascii="Times New Roman" w:hAnsi="Times New Roman" w:eastAsia="方正仿宋_GBK" w:cs="Times New Roman"/>
          <w:sz w:val="32"/>
          <w:szCs w:val="32"/>
        </w:rPr>
        <w:t>的坚强领导下，坚持党建引领、深化转型发展，明确了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城市综合运营商，美好生活服务商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发展定位，深耕主责主业，以片区综合开发、城市运行服务、商业资产管理、项目建设管理四大主营业务板块为核心主业，形成八大运营主体，在城市升级、治理提升、民生改进、公服配套及资产运营等方面做出了积极贡献。集团现有全资及参控股公司22家，员工</w:t>
      </w:r>
      <w:r>
        <w:rPr>
          <w:rFonts w:hint="eastAsia" w:ascii="Times New Roman" w:hAnsi="Times New Roman" w:eastAsia="方正仿宋_GBK" w:cs="Times New Roman"/>
          <w:sz w:val="32"/>
          <w:szCs w:val="32"/>
          <w:lang w:val="en-US" w:eastAsia="zh-CN"/>
        </w:rPr>
        <w:t>1900</w:t>
      </w:r>
      <w:r>
        <w:rPr>
          <w:rFonts w:hint="eastAsia" w:ascii="Times New Roman" w:hAnsi="Times New Roman" w:eastAsia="方正仿宋_GBK" w:cs="Times New Roman"/>
          <w:sz w:val="32"/>
          <w:szCs w:val="32"/>
          <w:lang w:eastAsia="zh-CN"/>
        </w:rPr>
        <w:t>余</w:t>
      </w:r>
      <w:r>
        <w:rPr>
          <w:rFonts w:hint="default" w:ascii="Times New Roman" w:hAnsi="Times New Roman" w:eastAsia="方正仿宋_GBK" w:cs="Times New Roman"/>
          <w:sz w:val="32"/>
          <w:szCs w:val="32"/>
        </w:rPr>
        <w:t>人。截至2024年底，资产总额达1254亿元。</w:t>
      </w:r>
    </w:p>
    <w:p w14:paraId="373565B1">
      <w:pPr>
        <w:spacing w:after="0" w:line="579" w:lineRule="exact"/>
        <w:ind w:firstLine="640" w:firstLineChars="200"/>
        <w:rPr>
          <w:rFonts w:hint="eastAsia" w:ascii="方正楷体_GBK" w:eastAsia="方正楷体_GBK"/>
          <w:sz w:val="32"/>
          <w:szCs w:val="32"/>
        </w:rPr>
      </w:pPr>
      <w:bookmarkStart w:id="0" w:name="OLE_LINK12"/>
      <w:r>
        <w:rPr>
          <w:rFonts w:hint="eastAsia" w:ascii="方正楷体_GBK" w:eastAsia="方正楷体_GBK"/>
          <w:sz w:val="32"/>
          <w:szCs w:val="32"/>
        </w:rPr>
        <w:t>（一）成都经开园区投资有限公司</w:t>
      </w:r>
    </w:p>
    <w:p w14:paraId="4C3F8D0E">
      <w:pPr>
        <w:spacing w:after="0" w:line="579" w:lineRule="exact"/>
        <w:ind w:firstLine="640" w:firstLineChars="200"/>
        <w:jc w:val="both"/>
        <w:rPr>
          <w:rFonts w:ascii="方正仿宋_GBK" w:eastAsia="方正仿宋_GBK"/>
          <w:sz w:val="32"/>
          <w:szCs w:val="32"/>
        </w:rPr>
      </w:pPr>
      <w:r>
        <w:rPr>
          <w:rFonts w:hint="eastAsia" w:ascii="方正仿宋_GBK" w:eastAsia="方正仿宋_GBK"/>
          <w:sz w:val="32"/>
          <w:szCs w:val="32"/>
        </w:rPr>
        <w:t>成都经开园区投资有限公</w:t>
      </w:r>
      <w:r>
        <w:rPr>
          <w:rFonts w:hint="default" w:ascii="Times New Roman" w:hAnsi="Times New Roman" w:eastAsia="方正仿宋_GBK" w:cs="Times New Roman"/>
          <w:sz w:val="32"/>
          <w:szCs w:val="32"/>
        </w:rPr>
        <w:t>司成立于2019年11月，于2021年8月挂牌开展实质化运作，为经开国投集团下属二级公司，注册资本27亿元，资产总额113.57亿元，信用评级为AA级。公司以片区开发为主要实施模式，业务主要涵盖投资策划、片区综合开发、房地产开发、商业招商运营、工程项目管</w:t>
      </w:r>
      <w:r>
        <w:rPr>
          <w:rFonts w:hint="eastAsia" w:ascii="方正仿宋_GBK" w:eastAsia="方正仿宋_GBK"/>
          <w:sz w:val="32"/>
          <w:szCs w:val="32"/>
        </w:rPr>
        <w:t>理等</w:t>
      </w:r>
      <w:bookmarkStart w:id="5" w:name="_GoBack"/>
      <w:bookmarkEnd w:id="5"/>
      <w:r>
        <w:rPr>
          <w:rFonts w:hint="eastAsia" w:ascii="方正仿宋_GBK" w:eastAsia="方正仿宋_GBK"/>
          <w:sz w:val="32"/>
          <w:szCs w:val="32"/>
        </w:rPr>
        <w:t>领域。</w:t>
      </w:r>
    </w:p>
    <w:bookmarkEnd w:id="0"/>
    <w:p w14:paraId="4FF4744D">
      <w:pPr>
        <w:spacing w:after="0" w:line="579" w:lineRule="exact"/>
        <w:ind w:firstLine="640" w:firstLineChars="200"/>
        <w:rPr>
          <w:rFonts w:hint="eastAsia" w:ascii="方正楷体_GBK" w:eastAsia="方正楷体_GBK"/>
          <w:sz w:val="32"/>
          <w:szCs w:val="32"/>
        </w:rPr>
      </w:pPr>
      <w:r>
        <w:rPr>
          <w:rFonts w:hint="eastAsia" w:ascii="方正楷体_GBK" w:eastAsia="方正楷体_GBK"/>
          <w:sz w:val="32"/>
          <w:szCs w:val="32"/>
        </w:rPr>
        <w:t>（二）</w:t>
      </w:r>
      <w:bookmarkStart w:id="1" w:name="_Hlk209562333"/>
      <w:r>
        <w:rPr>
          <w:rFonts w:hint="eastAsia" w:ascii="方正楷体_GBK" w:eastAsia="方正楷体_GBK"/>
          <w:sz w:val="32"/>
          <w:szCs w:val="32"/>
        </w:rPr>
        <w:t>成都经开城市运营投资有限公司</w:t>
      </w:r>
      <w:bookmarkEnd w:id="1"/>
    </w:p>
    <w:p w14:paraId="30F20EC2">
      <w:pPr>
        <w:spacing w:after="0" w:line="579" w:lineRule="exact"/>
        <w:ind w:firstLine="640" w:firstLineChars="200"/>
        <w:rPr>
          <w:rFonts w:ascii="方正仿宋_GBK" w:eastAsia="方正仿宋_GBK"/>
          <w:sz w:val="32"/>
          <w:szCs w:val="32"/>
        </w:rPr>
      </w:pPr>
      <w:r>
        <w:rPr>
          <w:rFonts w:hint="eastAsia" w:ascii="方正仿宋_GBK" w:eastAsia="方正仿宋_GBK"/>
          <w:sz w:val="32"/>
          <w:szCs w:val="32"/>
        </w:rPr>
        <w:t>成都经开城市运营投资有限公</w:t>
      </w:r>
      <w:r>
        <w:rPr>
          <w:rFonts w:hint="default" w:ascii="Times New Roman" w:hAnsi="Times New Roman" w:eastAsia="方正仿宋_GBK" w:cs="Times New Roman"/>
          <w:sz w:val="32"/>
          <w:szCs w:val="32"/>
        </w:rPr>
        <w:t>司成立于2011年，前身为国开四川（龙泉驿）城乡统筹发展投资有限公司，是经开国投集团全资子公司，管理佳美环境公司，注册资本9.5亿元，资产规模84余亿元。主要承担龙泉驿区内部分市政工程投资建设与运维、公路设施运维等市政公用业务，以及公共停车场、占道停车、户外广告运营、全区生活垃</w:t>
      </w:r>
      <w:r>
        <w:rPr>
          <w:rFonts w:hint="eastAsia" w:ascii="方正仿宋_GBK" w:eastAsia="方正仿宋_GBK"/>
          <w:sz w:val="32"/>
          <w:szCs w:val="32"/>
        </w:rPr>
        <w:t>圾清运、道路清扫、公厕运营及餐厨垃圾收运等城市服务运营类业务。</w:t>
      </w:r>
    </w:p>
    <w:p w14:paraId="1020E311">
      <w:pPr>
        <w:spacing w:after="0" w:line="579" w:lineRule="exact"/>
        <w:ind w:firstLine="640" w:firstLineChars="200"/>
        <w:rPr>
          <w:rFonts w:ascii="方正仿宋_GBK" w:eastAsia="方正仿宋_GBK"/>
          <w:sz w:val="32"/>
          <w:szCs w:val="32"/>
        </w:rPr>
      </w:pPr>
      <w:r>
        <w:rPr>
          <w:rFonts w:hint="eastAsia" w:ascii="方正黑体_GBK" w:eastAsia="方正黑体_GBK"/>
          <w:sz w:val="32"/>
          <w:szCs w:val="32"/>
        </w:rPr>
        <w:t>二、</w:t>
      </w:r>
      <w:bookmarkStart w:id="2" w:name="_Hlk209562894"/>
      <w:r>
        <w:rPr>
          <w:rFonts w:hint="eastAsia" w:ascii="方正黑体_GBK" w:eastAsia="方正黑体_GBK"/>
          <w:sz w:val="32"/>
          <w:szCs w:val="32"/>
        </w:rPr>
        <w:t>经开产投集团</w:t>
      </w:r>
    </w:p>
    <w:p w14:paraId="1EC9096F">
      <w:pPr>
        <w:spacing w:after="0" w:line="579" w:lineRule="exact"/>
        <w:ind w:firstLine="640" w:firstLineChars="200"/>
        <w:jc w:val="both"/>
        <w:rPr>
          <w:rFonts w:hint="default" w:ascii="Times New Roman" w:hAnsi="Times New Roman" w:eastAsia="方正仿宋_GBK" w:cs="Times New Roman"/>
          <w:sz w:val="32"/>
          <w:szCs w:val="32"/>
        </w:rPr>
      </w:pPr>
      <w:bookmarkStart w:id="3" w:name="_Hlk209562632"/>
      <w:r>
        <w:rPr>
          <w:rFonts w:hint="default" w:ascii="Times New Roman" w:hAnsi="Times New Roman" w:eastAsia="方正仿宋_GBK" w:cs="Times New Roman"/>
          <w:sz w:val="32"/>
          <w:szCs w:val="32"/>
        </w:rPr>
        <w:t>成都经开产业投资集团有限公司成立于2020年7月，为龙泉驿区区属国有企业。集团注册资金100亿元，内设部门9个，下属企业20家，</w:t>
      </w:r>
      <w:r>
        <w:rPr>
          <w:rFonts w:hint="default" w:ascii="Times New Roman" w:hAnsi="Times New Roman" w:eastAsia="方正仿宋_GBK" w:cs="Times New Roman"/>
          <w:sz w:val="32"/>
          <w:szCs w:val="32"/>
          <w:highlight w:val="none"/>
          <w:shd w:val="clear" w:color="auto" w:fill="auto"/>
        </w:rPr>
        <w:t>员工58</w:t>
      </w:r>
      <w:r>
        <w:rPr>
          <w:rFonts w:hint="eastAsia" w:ascii="Times New Roman" w:hAnsi="Times New Roman" w:eastAsia="方正仿宋_GBK" w:cs="Times New Roman"/>
          <w:sz w:val="32"/>
          <w:szCs w:val="32"/>
          <w:highlight w:val="none"/>
          <w:shd w:val="clear" w:color="auto" w:fill="auto"/>
          <w:lang w:val="en-US" w:eastAsia="zh-CN"/>
        </w:rPr>
        <w:t>4</w:t>
      </w:r>
      <w:r>
        <w:rPr>
          <w:rFonts w:hint="default" w:ascii="Times New Roman" w:hAnsi="Times New Roman" w:eastAsia="方正仿宋_GBK" w:cs="Times New Roman"/>
          <w:sz w:val="32"/>
          <w:szCs w:val="32"/>
          <w:highlight w:val="none"/>
          <w:shd w:val="clear" w:color="auto" w:fill="auto"/>
        </w:rPr>
        <w:t>人。</w:t>
      </w:r>
      <w:r>
        <w:rPr>
          <w:rFonts w:hint="default" w:ascii="Times New Roman" w:hAnsi="Times New Roman" w:eastAsia="方正仿宋_GBK" w:cs="Times New Roman"/>
          <w:sz w:val="32"/>
          <w:szCs w:val="32"/>
        </w:rPr>
        <w:t>截至2024年底，集团资产总额达1460亿元。集团拥有2家AA+、3家AA级企业，2021年入选成都市企业100强。经开产投集团立足产业投资运营商定位，深入推进国企改革和市场化转型，做优做强乡村振兴、产业园区、资产运营、测绘检测、人才服务等基础产业，创新发展智能网联、文体旅赛演、医疗大健康等新兴产业，抢滩布局能源环保、低空经济等未来产业，推动多元共兴、建圈强链，践行产业发展与城市运营职责使命，以产投创新势能推动成都经开区（龙泉驿区）加快打造先进制造业高地、现代化品质城区的高质量发展。</w:t>
      </w:r>
    </w:p>
    <w:p w14:paraId="5F7CE81A">
      <w:pPr>
        <w:spacing w:after="0" w:line="579" w:lineRule="exact"/>
        <w:ind w:firstLine="640" w:firstLineChars="200"/>
        <w:rPr>
          <w:rFonts w:hint="eastAsia" w:ascii="方正楷体_GBK" w:eastAsia="方正楷体_GBK"/>
          <w:sz w:val="32"/>
          <w:szCs w:val="32"/>
        </w:rPr>
      </w:pPr>
      <w:r>
        <w:rPr>
          <w:rFonts w:hint="eastAsia" w:ascii="方正楷体_GBK" w:eastAsia="方正楷体_GBK"/>
          <w:sz w:val="32"/>
          <w:szCs w:val="32"/>
        </w:rPr>
        <w:t>（一）成都经开汽车城建设开发集团有限公司</w:t>
      </w:r>
    </w:p>
    <w:p w14:paraId="58C0C0AF">
      <w:pPr>
        <w:spacing w:after="0" w:line="579"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成都经开汽车城建设开发集团有限公司（以下简称汽车城集团），成立于</w:t>
      </w:r>
      <w:r>
        <w:rPr>
          <w:rFonts w:ascii="Times New Roman" w:hAnsi="Times New Roman" w:eastAsia="方正仿宋_GBK" w:cs="Times New Roman"/>
          <w:sz w:val="32"/>
          <w:szCs w:val="32"/>
        </w:rPr>
        <w:t>2018</w:t>
      </w:r>
      <w:r>
        <w:rPr>
          <w:rFonts w:hint="eastAsia" w:ascii="方正仿宋_GBK" w:eastAsia="方正仿宋_GBK"/>
          <w:sz w:val="32"/>
          <w:szCs w:val="32"/>
        </w:rPr>
        <w:t>年</w:t>
      </w:r>
      <w:r>
        <w:rPr>
          <w:rFonts w:ascii="Times New Roman" w:hAnsi="Times New Roman" w:eastAsia="方正仿宋_GBK" w:cs="Times New Roman"/>
          <w:sz w:val="32"/>
          <w:szCs w:val="32"/>
        </w:rPr>
        <w:t>10</w:t>
      </w:r>
      <w:r>
        <w:rPr>
          <w:rFonts w:hint="eastAsia" w:ascii="方正仿宋_GBK" w:eastAsia="方正仿宋_GBK"/>
          <w:sz w:val="32"/>
          <w:szCs w:val="32"/>
        </w:rPr>
        <w:t>月，注册资本金</w:t>
      </w:r>
      <w:r>
        <w:rPr>
          <w:rFonts w:ascii="Times New Roman" w:hAnsi="Times New Roman" w:eastAsia="方正仿宋_GBK" w:cs="Times New Roman"/>
          <w:sz w:val="32"/>
          <w:szCs w:val="32"/>
        </w:rPr>
        <w:t>20</w:t>
      </w:r>
      <w:r>
        <w:rPr>
          <w:rFonts w:hint="eastAsia" w:ascii="方正仿宋_GBK" w:eastAsia="方正仿宋_GBK"/>
          <w:sz w:val="32"/>
          <w:szCs w:val="32"/>
        </w:rPr>
        <w:t>亿元，总资产</w:t>
      </w:r>
      <w:r>
        <w:rPr>
          <w:rFonts w:ascii="Times New Roman" w:hAnsi="Times New Roman" w:eastAsia="方正仿宋_GBK" w:cs="Times New Roman"/>
          <w:sz w:val="32"/>
          <w:szCs w:val="32"/>
        </w:rPr>
        <w:t>161.42</w:t>
      </w:r>
      <w:r>
        <w:rPr>
          <w:rFonts w:hint="eastAsia" w:ascii="方正仿宋_GBK" w:eastAsia="方正仿宋_GBK"/>
          <w:sz w:val="32"/>
          <w:szCs w:val="32"/>
        </w:rPr>
        <w:t>亿元，系成都经开产业投资集团有限公司</w:t>
      </w:r>
      <w:r>
        <w:rPr>
          <w:rFonts w:hint="eastAsia" w:ascii="方正仿宋_GBK" w:eastAsia="方正仿宋_GBK"/>
          <w:sz w:val="32"/>
          <w:szCs w:val="32"/>
          <w:highlight w:val="none"/>
        </w:rPr>
        <w:t>全资</w:t>
      </w:r>
      <w:r>
        <w:rPr>
          <w:rFonts w:hint="eastAsia" w:ascii="方正仿宋_GBK" w:eastAsia="方正仿宋_GBK"/>
          <w:sz w:val="32"/>
          <w:szCs w:val="32"/>
        </w:rPr>
        <w:t>二级子公司，管理下属公司成都市龙泉驿区龙泉工业投资经营有限责任公司，是承担成都经济技术开发区（龙泉驿区）汽车城片区开发建设任务的国有独资企业。</w:t>
      </w:r>
    </w:p>
    <w:p w14:paraId="2D076001">
      <w:pPr>
        <w:spacing w:after="0" w:line="579" w:lineRule="exact"/>
        <w:ind w:firstLine="640" w:firstLineChars="200"/>
        <w:jc w:val="both"/>
        <w:rPr>
          <w:rFonts w:ascii="方正仿宋_GBK" w:eastAsia="方正仿宋_GBK"/>
          <w:sz w:val="32"/>
          <w:szCs w:val="32"/>
        </w:rPr>
      </w:pPr>
      <w:r>
        <w:rPr>
          <w:rFonts w:hint="eastAsia" w:ascii="方正仿宋_GBK" w:eastAsia="方正仿宋_GBK"/>
          <w:sz w:val="32"/>
          <w:szCs w:val="32"/>
        </w:rPr>
        <w:t>汽车城集团是响应我区的六区共兴战略成立的主体公司，是区委、区政府授权作为汽车城片区综合开发唯一主体，积极开展“优化提质、特色立园、赋能增效、企业满园”行动，主要负责的是片区的投资、开发、建设、运营、服务等。主营业务园区建设开发和管理服务业务、资产管理服务及产业拓展运营；培育业务：绿色能源开发与智慧能源管理。</w:t>
      </w:r>
    </w:p>
    <w:p w14:paraId="50D94B53">
      <w:pPr>
        <w:spacing w:after="0" w:line="579"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（二）成都经开文旅发展有限公司</w:t>
      </w:r>
    </w:p>
    <w:p w14:paraId="34306C19">
      <w:pPr>
        <w:spacing w:after="0" w:line="579"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成都经开文旅发展有限公司成立于2020年12月，系成都经开产业投资集团有限公司全资二级子公司。公司深耕文商旅体领域，全力推动“文旅+”“体育+”“演艺+”产业融合发展，致力于成为</w:t>
      </w:r>
      <w:r>
        <w:rPr>
          <w:rFonts w:hint="default" w:ascii="Times New Roman" w:hAnsi="Times New Roman" w:eastAsia="方正仿宋_GBK" w:cs="Times New Roman"/>
          <w:sz w:val="32"/>
          <w:szCs w:val="32"/>
        </w:rPr>
        <w:t>西部城市文旅融合发展引领者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先后荣获“成都青年五四奖章”集体、成都市群众体育工作表现突出单位、龙泉驿区十大优秀文体旅企业等多项荣誉。</w:t>
      </w:r>
    </w:p>
    <w:p w14:paraId="6A5D2E91">
      <w:pPr>
        <w:spacing w:after="0" w:line="579" w:lineRule="exact"/>
        <w:ind w:firstLine="640" w:firstLineChars="200"/>
        <w:rPr>
          <w:rFonts w:ascii="方正仿宋_GBK" w:eastAsia="方正仿宋_GBK"/>
          <w:sz w:val="32"/>
          <w:szCs w:val="32"/>
        </w:rPr>
      </w:pPr>
      <w:r>
        <w:rPr>
          <w:rFonts w:hint="default" w:ascii="Times New Roman" w:hAnsi="Times New Roman" w:eastAsia="方正仿宋_GBK" w:cs="Times New Roman"/>
          <w:sz w:val="32"/>
          <w:szCs w:val="32"/>
          <w:lang w:val="en-US" w:eastAsia="zh-CN"/>
        </w:rPr>
        <w:t>公司大力践行“文旅融合大平台，公园城市运营商，美好生活引领者”的企业使命，构建景区运营管理、文体赛演打造、餐饮酒店管理、文旅项目开发四大主业，研学旅游、活动策划、营销宣传、文博文创、艺体培训、政商服务六大支撑业务。运营管理世界大运公园、东安湖公园、驿马河公园、东安书院、文化艺术中心、东安湖剧院、大运博物馆、区城市展示中心、在驿东安大酒店、经开铭臻国际大酒店等优质文商旅体项目。</w:t>
      </w:r>
      <w:bookmarkEnd w:id="2"/>
      <w:bookmarkEnd w:id="3"/>
    </w:p>
    <w:p w14:paraId="295CF424">
      <w:pPr>
        <w:spacing w:after="0" w:line="579" w:lineRule="exact"/>
        <w:ind w:firstLine="640" w:firstLineChars="200"/>
        <w:rPr>
          <w:rFonts w:hint="eastAsia" w:ascii="方正黑体_GBK" w:eastAsia="方正黑体_GBK"/>
          <w:sz w:val="32"/>
          <w:szCs w:val="32"/>
        </w:rPr>
      </w:pPr>
      <w:r>
        <w:rPr>
          <w:rFonts w:hint="eastAsia" w:ascii="方正黑体_GBK" w:eastAsia="方正黑体_GBK"/>
          <w:sz w:val="32"/>
          <w:szCs w:val="32"/>
        </w:rPr>
        <w:t>三、经开资本集团</w:t>
      </w:r>
    </w:p>
    <w:p w14:paraId="47CD95D1">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方正仿宋_GBK" w:eastAsia="方正仿宋_GBK"/>
          <w:sz w:val="32"/>
          <w:szCs w:val="32"/>
          <w:lang w:eastAsia="zh-CN"/>
        </w:rPr>
      </w:pPr>
      <w:r>
        <w:rPr>
          <w:rFonts w:hint="eastAsia" w:ascii="方正仿宋_GBK" w:eastAsia="方正仿宋_GBK"/>
          <w:sz w:val="32"/>
          <w:szCs w:val="32"/>
        </w:rPr>
        <w:t>成都经开资本投资集团有限公司成立于</w:t>
      </w:r>
      <w:r>
        <w:rPr>
          <w:rFonts w:ascii="Times New Roman" w:hAnsi="Times New Roman" w:eastAsia="方正仿宋_GBK" w:cs="Times New Roman"/>
          <w:sz w:val="32"/>
          <w:szCs w:val="32"/>
        </w:rPr>
        <w:t>2024</w:t>
      </w:r>
      <w:r>
        <w:rPr>
          <w:rFonts w:hint="eastAsia" w:ascii="方正仿宋_GBK" w:eastAsia="方正仿宋_GBK"/>
          <w:sz w:val="32"/>
          <w:szCs w:val="32"/>
        </w:rPr>
        <w:t>年</w:t>
      </w:r>
      <w:r>
        <w:rPr>
          <w:rFonts w:ascii="Times New Roman" w:hAnsi="Times New Roman" w:eastAsia="方正仿宋_GBK" w:cs="Times New Roman"/>
          <w:sz w:val="32"/>
          <w:szCs w:val="32"/>
        </w:rPr>
        <w:t>1</w:t>
      </w:r>
      <w:r>
        <w:rPr>
          <w:rFonts w:hint="eastAsia" w:ascii="方正仿宋_GBK" w:eastAsia="方正仿宋_GBK"/>
          <w:sz w:val="32"/>
          <w:szCs w:val="32"/>
        </w:rPr>
        <w:t>月</w:t>
      </w:r>
      <w:r>
        <w:rPr>
          <w:rFonts w:ascii="Times New Roman" w:hAnsi="Times New Roman" w:eastAsia="方正仿宋_GBK" w:cs="Times New Roman"/>
          <w:sz w:val="32"/>
          <w:szCs w:val="32"/>
        </w:rPr>
        <w:t>25</w:t>
      </w:r>
      <w:r>
        <w:rPr>
          <w:rFonts w:hint="eastAsia" w:ascii="方正仿宋_GBK" w:eastAsia="方正仿宋_GBK"/>
          <w:sz w:val="32"/>
          <w:szCs w:val="32"/>
        </w:rPr>
        <w:t>日，注册资本</w:t>
      </w:r>
      <w:r>
        <w:rPr>
          <w:rFonts w:ascii="Times New Roman" w:hAnsi="Times New Roman" w:eastAsia="方正仿宋_GBK" w:cs="Times New Roman"/>
          <w:sz w:val="32"/>
          <w:szCs w:val="32"/>
        </w:rPr>
        <w:t>10</w:t>
      </w:r>
      <w:r>
        <w:rPr>
          <w:rFonts w:hint="eastAsia" w:ascii="方正仿宋_GBK" w:eastAsia="方正仿宋_GBK"/>
          <w:sz w:val="32"/>
          <w:szCs w:val="32"/>
        </w:rPr>
        <w:t>亿元。下设成都龙雏私募股权投资基金管理有限公司、成都经开融资担保有限公司、成都经开龙安信息科技服务有限公司</w:t>
      </w:r>
      <w:r>
        <w:rPr>
          <w:rFonts w:ascii="Times New Roman" w:hAnsi="Times New Roman" w:eastAsia="方正仿宋_GBK" w:cs="Times New Roman"/>
          <w:sz w:val="32"/>
          <w:szCs w:val="32"/>
        </w:rPr>
        <w:t>3</w:t>
      </w:r>
      <w:r>
        <w:rPr>
          <w:rFonts w:hint="eastAsia" w:ascii="方正仿宋_GBK" w:eastAsia="方正仿宋_GBK"/>
          <w:sz w:val="32"/>
          <w:szCs w:val="32"/>
        </w:rPr>
        <w:t>家全资子公司，控股四川宽窄优品商贸有限责任公司，参股成都龙星天然气有限责任公司、龙泉驿华油兴能天然气有限公司</w:t>
      </w:r>
      <w:r>
        <w:rPr>
          <w:rFonts w:hint="eastAsia" w:ascii="Times New Roman" w:hAnsi="Times New Roman" w:eastAsia="方正仿宋_GBK" w:cs="Times New Roman"/>
          <w:sz w:val="32"/>
          <w:szCs w:val="32"/>
          <w:lang w:val="en-US" w:eastAsia="zh-CN"/>
        </w:rPr>
        <w:t>等</w:t>
      </w:r>
      <w:r>
        <w:rPr>
          <w:rFonts w:hint="eastAsia" w:ascii="方正仿宋_GBK" w:eastAsia="方正仿宋_GBK"/>
          <w:sz w:val="32"/>
          <w:szCs w:val="32"/>
        </w:rPr>
        <w:t>企业</w:t>
      </w:r>
      <w:r>
        <w:rPr>
          <w:rFonts w:hint="default" w:ascii="Times New Roman" w:hAnsi="Times New Roman" w:eastAsia="方正仿宋_GBK" w:cs="Times New Roman"/>
          <w:sz w:val="32"/>
          <w:szCs w:val="32"/>
          <w:highlight w:val="none"/>
          <w:lang w:val="en-US" w:eastAsia="zh-CN"/>
        </w:rPr>
        <w:t>5家</w:t>
      </w:r>
      <w:r>
        <w:rPr>
          <w:rFonts w:hint="eastAsia" w:ascii="方正仿宋_GBK" w:eastAsia="方正仿宋_GBK"/>
          <w:sz w:val="32"/>
          <w:szCs w:val="32"/>
        </w:rPr>
        <w:t>。经开资本投资集团</w:t>
      </w:r>
      <w:r>
        <w:rPr>
          <w:rFonts w:hint="eastAsia" w:ascii="方正仿宋_GBK" w:eastAsia="方正仿宋_GBK"/>
          <w:sz w:val="32"/>
          <w:szCs w:val="32"/>
          <w:lang w:val="en-US" w:eastAsia="zh-CN"/>
        </w:rPr>
        <w:t>立足</w:t>
      </w:r>
      <w:r>
        <w:rPr>
          <w:rFonts w:hint="eastAsia" w:ascii="方正仿宋_GBK" w:eastAsia="方正仿宋_GBK"/>
          <w:sz w:val="32"/>
          <w:szCs w:val="32"/>
        </w:rPr>
        <w:t>“综合金融服务商”</w:t>
      </w:r>
      <w:r>
        <w:rPr>
          <w:rFonts w:hint="eastAsia" w:ascii="方正仿宋_GBK" w:eastAsia="方正仿宋_GBK"/>
          <w:sz w:val="32"/>
          <w:szCs w:val="32"/>
          <w:lang w:val="en-US" w:eastAsia="zh-CN"/>
        </w:rPr>
        <w:t>发展</w:t>
      </w:r>
      <w:r>
        <w:rPr>
          <w:rFonts w:hint="default" w:ascii="Times New Roman" w:hAnsi="Times New Roman" w:eastAsia="方正仿宋_GBK" w:cs="Times New Roman"/>
          <w:i w:val="0"/>
          <w:iCs w:val="0"/>
          <w:caps w:val="0"/>
          <w:spacing w:val="2"/>
          <w:sz w:val="32"/>
          <w:szCs w:val="32"/>
          <w:highlight w:val="none"/>
          <w:shd w:val="clear" w:fill="FFFFFF"/>
        </w:rPr>
        <w:t>定位，</w:t>
      </w:r>
      <w:r>
        <w:rPr>
          <w:rFonts w:hint="eastAsia" w:ascii="方正仿宋_GBK" w:hAnsi="方正仿宋_GBK" w:eastAsia="方正仿宋_GBK" w:cs="方正仿宋_GBK"/>
          <w:i w:val="0"/>
          <w:iCs w:val="0"/>
          <w:caps w:val="0"/>
          <w:spacing w:val="2"/>
          <w:sz w:val="32"/>
          <w:szCs w:val="32"/>
          <w:shd w:val="clear" w:fill="FFFFFF"/>
        </w:rPr>
        <w:t>围绕“</w:t>
      </w:r>
      <w:r>
        <w:rPr>
          <w:rFonts w:hint="default" w:ascii="Times New Roman" w:hAnsi="Times New Roman" w:eastAsia="方正仿宋_GBK" w:cs="Times New Roman"/>
          <w:i w:val="0"/>
          <w:iCs w:val="0"/>
          <w:caps w:val="0"/>
          <w:spacing w:val="2"/>
          <w:sz w:val="32"/>
          <w:szCs w:val="32"/>
          <w:shd w:val="clear" w:fill="FFFFFF"/>
        </w:rPr>
        <w:t>13367</w:t>
      </w:r>
      <w:r>
        <w:rPr>
          <w:rFonts w:hint="eastAsia" w:ascii="方正仿宋_GBK" w:hAnsi="方正仿宋_GBK" w:eastAsia="方正仿宋_GBK" w:cs="方正仿宋_GBK"/>
          <w:i w:val="0"/>
          <w:iCs w:val="0"/>
          <w:caps w:val="0"/>
          <w:spacing w:val="2"/>
          <w:sz w:val="32"/>
          <w:szCs w:val="32"/>
          <w:shd w:val="clear" w:fill="FFFFFF"/>
        </w:rPr>
        <w:t>”战</w:t>
      </w:r>
      <w:r>
        <w:rPr>
          <w:rFonts w:hint="default" w:ascii="Times New Roman" w:hAnsi="Times New Roman" w:eastAsia="方正仿宋_GBK" w:cs="Times New Roman"/>
          <w:i w:val="0"/>
          <w:iCs w:val="0"/>
          <w:caps w:val="0"/>
          <w:spacing w:val="2"/>
          <w:sz w:val="32"/>
          <w:szCs w:val="32"/>
          <w:shd w:val="clear" w:fill="FFFFFF"/>
        </w:rPr>
        <w:t>略蓝图，</w:t>
      </w:r>
      <w:r>
        <w:rPr>
          <w:rFonts w:hint="eastAsia" w:ascii="Times New Roman" w:hAnsi="Times New Roman" w:eastAsia="方正仿宋_GBK" w:cs="Times New Roman"/>
          <w:i w:val="0"/>
          <w:iCs w:val="0"/>
          <w:caps w:val="0"/>
          <w:spacing w:val="2"/>
          <w:sz w:val="32"/>
          <w:szCs w:val="32"/>
          <w:highlight w:val="none"/>
          <w:shd w:val="clear" w:fill="FFFFFF"/>
          <w:lang w:val="en-US" w:eastAsia="zh-CN"/>
        </w:rPr>
        <w:t>重点开展</w:t>
      </w:r>
      <w:r>
        <w:rPr>
          <w:rFonts w:hint="default" w:ascii="Times New Roman" w:hAnsi="Times New Roman" w:eastAsia="方正仿宋_GBK" w:cs="Times New Roman"/>
          <w:i w:val="0"/>
          <w:iCs w:val="0"/>
          <w:caps w:val="0"/>
          <w:spacing w:val="2"/>
          <w:sz w:val="32"/>
          <w:szCs w:val="32"/>
          <w:highlight w:val="none"/>
          <w:shd w:val="clear" w:fill="FFFFFF"/>
        </w:rPr>
        <w:t>股权投资、债权融资与科技金融</w:t>
      </w:r>
      <w:r>
        <w:rPr>
          <w:rFonts w:hint="eastAsia" w:ascii="Times New Roman" w:hAnsi="Times New Roman" w:eastAsia="方正仿宋_GBK" w:cs="Times New Roman"/>
          <w:i w:val="0"/>
          <w:iCs w:val="0"/>
          <w:caps w:val="0"/>
          <w:spacing w:val="2"/>
          <w:sz w:val="32"/>
          <w:szCs w:val="32"/>
          <w:highlight w:val="none"/>
          <w:shd w:val="clear" w:fill="FFFFFF"/>
          <w:lang w:val="en-US" w:eastAsia="zh-CN"/>
        </w:rPr>
        <w:t>等金融服务</w:t>
      </w:r>
      <w:r>
        <w:rPr>
          <w:rFonts w:hint="eastAsia" w:ascii="方正仿宋_GBK" w:eastAsia="方正仿宋_GBK"/>
          <w:sz w:val="32"/>
          <w:szCs w:val="32"/>
        </w:rPr>
        <w:t>，</w:t>
      </w:r>
      <w:r>
        <w:rPr>
          <w:rFonts w:hint="default" w:ascii="Times New Roman" w:hAnsi="Times New Roman" w:eastAsia="方正仿宋_GBK" w:cs="Times New Roman"/>
          <w:i w:val="0"/>
          <w:iCs w:val="0"/>
          <w:caps w:val="0"/>
          <w:spacing w:val="2"/>
          <w:sz w:val="32"/>
          <w:szCs w:val="32"/>
          <w:highlight w:val="none"/>
          <w:shd w:val="clear" w:fill="FFFFFF"/>
        </w:rPr>
        <w:t>致力于为区域产业升级提供全生命周期金融支持，助力成都经开区建</w:t>
      </w:r>
      <w:r>
        <w:rPr>
          <w:rFonts w:hint="eastAsia" w:ascii="方正仿宋_GBK" w:hAnsi="方正仿宋_GBK" w:eastAsia="方正仿宋_GBK" w:cs="方正仿宋_GBK"/>
          <w:i w:val="0"/>
          <w:iCs w:val="0"/>
          <w:caps w:val="0"/>
          <w:spacing w:val="2"/>
          <w:sz w:val="32"/>
          <w:szCs w:val="32"/>
          <w:highlight w:val="none"/>
          <w:shd w:val="clear" w:fill="FFFFFF"/>
        </w:rPr>
        <w:t>设“先进制造业高地</w:t>
      </w:r>
      <w:r>
        <w:rPr>
          <w:rFonts w:hint="eastAsia" w:ascii="方正仿宋_GBK" w:hAnsi="方正仿宋_GBK" w:eastAsia="方正仿宋_GBK" w:cs="方正仿宋_GBK"/>
          <w:i w:val="0"/>
          <w:iCs w:val="0"/>
          <w:caps w:val="0"/>
          <w:spacing w:val="2"/>
          <w:sz w:val="32"/>
          <w:szCs w:val="32"/>
          <w:highlight w:val="none"/>
          <w:shd w:val="clear" w:fill="FFFFFF"/>
          <w:lang w:eastAsia="zh-CN"/>
        </w:rPr>
        <w:t>、</w:t>
      </w:r>
      <w:r>
        <w:rPr>
          <w:rFonts w:hint="eastAsia" w:ascii="方正仿宋_GBK" w:hAnsi="方正仿宋_GBK" w:eastAsia="方正仿宋_GBK" w:cs="方正仿宋_GBK"/>
          <w:i w:val="0"/>
          <w:iCs w:val="0"/>
          <w:caps w:val="0"/>
          <w:spacing w:val="2"/>
          <w:sz w:val="32"/>
          <w:szCs w:val="32"/>
          <w:highlight w:val="none"/>
          <w:shd w:val="clear" w:fill="FFFFFF"/>
          <w:lang w:val="en-US" w:eastAsia="zh-CN"/>
        </w:rPr>
        <w:t>现代化品质城区</w:t>
      </w:r>
      <w:r>
        <w:rPr>
          <w:rFonts w:hint="eastAsia" w:ascii="方正仿宋_GBK" w:hAnsi="方正仿宋_GBK" w:eastAsia="方正仿宋_GBK" w:cs="方正仿宋_GBK"/>
          <w:i w:val="0"/>
          <w:iCs w:val="0"/>
          <w:caps w:val="0"/>
          <w:spacing w:val="2"/>
          <w:sz w:val="32"/>
          <w:szCs w:val="32"/>
          <w:highlight w:val="none"/>
          <w:shd w:val="clear" w:fill="FFFFFF"/>
        </w:rPr>
        <w:t>”</w:t>
      </w:r>
      <w:r>
        <w:rPr>
          <w:rFonts w:hint="eastAsia" w:ascii="方正仿宋_GBK" w:hAnsi="方正仿宋_GBK" w:eastAsia="方正仿宋_GBK" w:cs="方正仿宋_GBK"/>
          <w:i w:val="0"/>
          <w:iCs w:val="0"/>
          <w:caps w:val="0"/>
          <w:spacing w:val="2"/>
          <w:sz w:val="32"/>
          <w:szCs w:val="32"/>
          <w:highlight w:val="none"/>
          <w:shd w:val="clear" w:fill="FFFFFF"/>
          <w:lang w:eastAsia="zh-CN"/>
        </w:rPr>
        <w:t>，</w:t>
      </w:r>
      <w:r>
        <w:rPr>
          <w:rFonts w:hint="default" w:ascii="Times New Roman" w:hAnsi="Times New Roman" w:eastAsia="方正仿宋_GBK" w:cs="Times New Roman"/>
          <w:i w:val="0"/>
          <w:iCs w:val="0"/>
          <w:caps w:val="0"/>
          <w:spacing w:val="2"/>
          <w:sz w:val="32"/>
          <w:szCs w:val="32"/>
          <w:shd w:val="clear" w:fill="FFFFFF"/>
        </w:rPr>
        <w:t>为区域实体经济高质量发展注入金融动能。</w:t>
      </w:r>
    </w:p>
    <w:p w14:paraId="3DEE176E">
      <w:pPr>
        <w:spacing w:after="0" w:line="579" w:lineRule="exact"/>
        <w:ind w:firstLine="640" w:firstLineChars="200"/>
        <w:rPr>
          <w:rFonts w:hint="eastAsia" w:ascii="方正楷体_GBK" w:eastAsia="方正楷体_GBK"/>
          <w:sz w:val="32"/>
          <w:szCs w:val="32"/>
        </w:rPr>
      </w:pPr>
      <w:r>
        <w:rPr>
          <w:rFonts w:hint="eastAsia" w:ascii="方正楷体_GBK" w:eastAsia="方正楷体_GBK"/>
          <w:sz w:val="32"/>
          <w:szCs w:val="32"/>
        </w:rPr>
        <w:t>（一）成都龙雏私募股权投资基金管理有限公司</w:t>
      </w:r>
    </w:p>
    <w:p w14:paraId="7E56E279">
      <w:pPr>
        <w:spacing w:after="0" w:line="579" w:lineRule="exact"/>
        <w:ind w:firstLine="640" w:firstLineChars="200"/>
        <w:jc w:val="both"/>
        <w:rPr>
          <w:rFonts w:ascii="方正仿宋_GBK" w:eastAsia="方正仿宋_GBK"/>
          <w:sz w:val="32"/>
          <w:szCs w:val="32"/>
        </w:rPr>
      </w:pPr>
      <w:r>
        <w:rPr>
          <w:rFonts w:hint="eastAsia" w:ascii="方正仿宋_GBK" w:eastAsia="方正仿宋_GBK"/>
          <w:sz w:val="32"/>
          <w:szCs w:val="32"/>
        </w:rPr>
        <w:t>成都龙雏私募股权投资基金管理有限公司系成都经开资本投资集团有限公司下属子公司，成立于</w:t>
      </w:r>
      <w:r>
        <w:rPr>
          <w:rFonts w:ascii="Times New Roman" w:hAnsi="Times New Roman" w:eastAsia="方正仿宋_GBK" w:cs="Times New Roman"/>
          <w:sz w:val="32"/>
          <w:szCs w:val="32"/>
        </w:rPr>
        <w:t>2017</w:t>
      </w:r>
      <w:r>
        <w:rPr>
          <w:rFonts w:hint="eastAsia" w:ascii="方正仿宋_GBK" w:eastAsia="方正仿宋_GBK"/>
          <w:sz w:val="32"/>
          <w:szCs w:val="32"/>
        </w:rPr>
        <w:t>年，注册资本</w:t>
      </w:r>
      <w:r>
        <w:rPr>
          <w:rFonts w:ascii="Times New Roman" w:hAnsi="Times New Roman" w:eastAsia="方正仿宋_GBK" w:cs="Times New Roman"/>
          <w:sz w:val="32"/>
          <w:szCs w:val="32"/>
        </w:rPr>
        <w:t>5000</w:t>
      </w:r>
      <w:r>
        <w:rPr>
          <w:rFonts w:hint="eastAsia" w:ascii="方正仿宋_GBK" w:eastAsia="方正仿宋_GBK"/>
          <w:sz w:val="32"/>
          <w:szCs w:val="32"/>
        </w:rPr>
        <w:t>万元，业务范围包括基金管理、投资管理、资产管理、股权投资、创业投资等。受托管理规模</w:t>
      </w:r>
      <w:r>
        <w:rPr>
          <w:rFonts w:ascii="Times New Roman" w:hAnsi="Times New Roman" w:eastAsia="方正仿宋_GBK" w:cs="Times New Roman"/>
          <w:sz w:val="32"/>
          <w:szCs w:val="32"/>
        </w:rPr>
        <w:t>100</w:t>
      </w:r>
      <w:r>
        <w:rPr>
          <w:rFonts w:hint="eastAsia" w:ascii="方正仿宋_GBK" w:eastAsia="方正仿宋_GBK"/>
          <w:sz w:val="32"/>
          <w:szCs w:val="32"/>
        </w:rPr>
        <w:t>亿元的成都市龙泉驿区政府引导基金（成都经开产投基金），累计设立</w:t>
      </w:r>
      <w:r>
        <w:rPr>
          <w:rFonts w:ascii="Times New Roman" w:hAnsi="Times New Roman" w:eastAsia="方正仿宋_GBK" w:cs="Times New Roman"/>
          <w:sz w:val="32"/>
          <w:szCs w:val="32"/>
        </w:rPr>
        <w:t>24</w:t>
      </w:r>
      <w:r>
        <w:rPr>
          <w:rFonts w:hint="eastAsia" w:ascii="方正仿宋_GBK" w:eastAsia="方正仿宋_GBK"/>
          <w:sz w:val="32"/>
          <w:szCs w:val="32"/>
        </w:rPr>
        <w:t>支子基金，规模</w:t>
      </w:r>
      <w:r>
        <w:rPr>
          <w:rFonts w:hint="eastAsia" w:ascii="方正仿宋_GBK" w:eastAsia="方正仿宋_GBK"/>
          <w:sz w:val="32"/>
          <w:szCs w:val="32"/>
          <w:lang w:val="en-US" w:eastAsia="zh-CN"/>
        </w:rPr>
        <w:t>超</w:t>
      </w:r>
      <w:r>
        <w:rPr>
          <w:rFonts w:ascii="Times New Roman" w:hAnsi="Times New Roman" w:eastAsia="方正仿宋_GBK" w:cs="Times New Roman"/>
          <w:sz w:val="32"/>
          <w:szCs w:val="32"/>
        </w:rPr>
        <w:t>450</w:t>
      </w:r>
      <w:r>
        <w:rPr>
          <w:rFonts w:hint="eastAsia" w:ascii="方正仿宋_GBK" w:eastAsia="方正仿宋_GBK"/>
          <w:sz w:val="32"/>
          <w:szCs w:val="32"/>
        </w:rPr>
        <w:t>亿元</w:t>
      </w:r>
      <w:r>
        <w:rPr>
          <w:rFonts w:hint="eastAsia" w:ascii="方正仿宋_GBK" w:eastAsia="方正仿宋_GBK"/>
          <w:sz w:val="32"/>
          <w:szCs w:val="32"/>
          <w:lang w:eastAsia="zh-CN"/>
        </w:rPr>
        <w:t>，</w:t>
      </w:r>
      <w:r>
        <w:rPr>
          <w:rFonts w:hint="eastAsia" w:ascii="方正仿宋_GBK" w:eastAsia="方正仿宋_GBK"/>
          <w:sz w:val="32"/>
          <w:szCs w:val="32"/>
        </w:rPr>
        <w:t>构建形成“横向覆盖重点产业链条、纵向贯穿企业全生命周期”的基金矩阵。协同招引落地产业项目</w:t>
      </w:r>
      <w:r>
        <w:rPr>
          <w:rFonts w:ascii="Times New Roman" w:hAnsi="Times New Roman" w:eastAsia="方正仿宋_GBK" w:cs="Times New Roman"/>
          <w:sz w:val="32"/>
          <w:szCs w:val="32"/>
        </w:rPr>
        <w:t>30</w:t>
      </w:r>
      <w:r>
        <w:rPr>
          <w:rFonts w:hint="eastAsia" w:ascii="方正仿宋_GBK" w:eastAsia="方正仿宋_GBK"/>
          <w:sz w:val="32"/>
          <w:szCs w:val="32"/>
          <w:lang w:val="en-US" w:eastAsia="zh-CN"/>
        </w:rPr>
        <w:t>余</w:t>
      </w:r>
      <w:r>
        <w:rPr>
          <w:rFonts w:hint="eastAsia" w:ascii="方正仿宋_GBK" w:eastAsia="方正仿宋_GBK"/>
          <w:sz w:val="32"/>
          <w:szCs w:val="32"/>
        </w:rPr>
        <w:t>个，协议投资总额近</w:t>
      </w:r>
      <w:r>
        <w:rPr>
          <w:rFonts w:ascii="Times New Roman" w:hAnsi="Times New Roman" w:eastAsia="方正仿宋_GBK" w:cs="Times New Roman"/>
          <w:sz w:val="32"/>
          <w:szCs w:val="32"/>
        </w:rPr>
        <w:t>600</w:t>
      </w:r>
      <w:r>
        <w:rPr>
          <w:rFonts w:hint="eastAsia" w:ascii="方正仿宋_GBK" w:eastAsia="方正仿宋_GBK"/>
          <w:sz w:val="32"/>
          <w:szCs w:val="32"/>
        </w:rPr>
        <w:t>亿元。累计投资实体企</w:t>
      </w:r>
      <w:r>
        <w:rPr>
          <w:rFonts w:hint="eastAsia" w:ascii="方正仿宋_GBK" w:eastAsia="方正仿宋_GBK"/>
          <w:sz w:val="32"/>
          <w:szCs w:val="32"/>
          <w:lang w:val="en-US" w:eastAsia="zh-CN"/>
        </w:rPr>
        <w:t>业</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val="en-US" w:eastAsia="zh-CN"/>
        </w:rPr>
        <w:t>0余</w:t>
      </w:r>
      <w:r>
        <w:rPr>
          <w:rFonts w:hint="eastAsia" w:ascii="方正仿宋_GBK" w:eastAsia="方正仿宋_GBK"/>
          <w:sz w:val="32"/>
          <w:szCs w:val="32"/>
        </w:rPr>
        <w:t>家</w:t>
      </w:r>
      <w:r>
        <w:rPr>
          <w:rFonts w:hint="eastAsia" w:ascii="方正仿宋_GBK" w:eastAsia="方正仿宋_GBK"/>
          <w:sz w:val="32"/>
          <w:szCs w:val="32"/>
          <w:lang w:eastAsia="zh-CN"/>
        </w:rPr>
        <w:t>，</w:t>
      </w:r>
      <w:r>
        <w:rPr>
          <w:rFonts w:hint="default" w:ascii="Times New Roman" w:hAnsi="Times New Roman" w:eastAsia="方正仿宋_GBK" w:cs="Times New Roman"/>
          <w:sz w:val="32"/>
          <w:szCs w:val="32"/>
          <w:lang w:val="en-US" w:eastAsia="zh-CN"/>
        </w:rPr>
        <w:t>助力8家企业上市，</w:t>
      </w:r>
      <w:r>
        <w:rPr>
          <w:rFonts w:hint="eastAsia" w:ascii="方正仿宋_GBK" w:eastAsia="方正仿宋_GBK"/>
          <w:sz w:val="32"/>
          <w:szCs w:val="32"/>
        </w:rPr>
        <w:t>经开产投基金荣获清科“</w:t>
      </w:r>
      <w:r>
        <w:rPr>
          <w:rFonts w:ascii="Times New Roman" w:hAnsi="Times New Roman" w:eastAsia="方正仿宋_GBK" w:cs="Times New Roman"/>
          <w:sz w:val="32"/>
          <w:szCs w:val="32"/>
        </w:rPr>
        <w:t>2024</w:t>
      </w:r>
      <w:r>
        <w:rPr>
          <w:rFonts w:hint="eastAsia" w:ascii="方正仿宋_GBK" w:eastAsia="方正仿宋_GBK"/>
          <w:sz w:val="32"/>
          <w:szCs w:val="32"/>
        </w:rPr>
        <w:t>年中国区县级政府引导基金</w:t>
      </w:r>
      <w:r>
        <w:rPr>
          <w:rFonts w:ascii="Times New Roman" w:hAnsi="Times New Roman" w:eastAsia="方正仿宋_GBK" w:cs="Times New Roman"/>
          <w:sz w:val="32"/>
          <w:szCs w:val="32"/>
        </w:rPr>
        <w:t>30</w:t>
      </w:r>
      <w:r>
        <w:rPr>
          <w:rFonts w:hint="eastAsia" w:ascii="方正仿宋_GBK" w:eastAsia="方正仿宋_GBK"/>
          <w:sz w:val="32"/>
          <w:szCs w:val="32"/>
        </w:rPr>
        <w:t>强”等行业荣誉</w:t>
      </w:r>
      <w:r>
        <w:rPr>
          <w:rFonts w:ascii="Times New Roman" w:hAnsi="Times New Roman" w:eastAsia="方正仿宋_GBK" w:cs="Times New Roman"/>
          <w:sz w:val="32"/>
          <w:szCs w:val="32"/>
        </w:rPr>
        <w:t>18</w:t>
      </w:r>
      <w:r>
        <w:rPr>
          <w:rFonts w:hint="eastAsia" w:ascii="方正仿宋_GBK" w:eastAsia="方正仿宋_GBK"/>
          <w:sz w:val="32"/>
          <w:szCs w:val="32"/>
        </w:rPr>
        <w:t>项。</w:t>
      </w:r>
    </w:p>
    <w:p w14:paraId="21B8AB21">
      <w:pPr>
        <w:spacing w:after="0" w:line="579" w:lineRule="exact"/>
        <w:ind w:firstLine="640" w:firstLineChars="200"/>
        <w:rPr>
          <w:rFonts w:hint="eastAsia" w:ascii="方正楷体_GBK" w:eastAsia="方正楷体_GBK"/>
          <w:sz w:val="32"/>
          <w:szCs w:val="32"/>
        </w:rPr>
      </w:pPr>
      <w:r>
        <w:rPr>
          <w:rFonts w:hint="eastAsia" w:ascii="方正楷体_GBK" w:eastAsia="方正楷体_GBK"/>
          <w:sz w:val="32"/>
          <w:szCs w:val="32"/>
        </w:rPr>
        <w:t>（二）</w:t>
      </w:r>
      <w:bookmarkStart w:id="4" w:name="_Hlk209563064"/>
      <w:r>
        <w:rPr>
          <w:rFonts w:hint="eastAsia" w:ascii="方正楷体_GBK" w:eastAsia="方正楷体_GBK"/>
          <w:sz w:val="32"/>
          <w:szCs w:val="32"/>
        </w:rPr>
        <w:t>成都经开融资担保有限公司</w:t>
      </w:r>
      <w:bookmarkEnd w:id="4"/>
    </w:p>
    <w:p w14:paraId="6A5CEE4F">
      <w:pPr>
        <w:spacing w:after="0" w:line="579" w:lineRule="exact"/>
        <w:ind w:firstLine="640" w:firstLineChars="200"/>
        <w:jc w:val="both"/>
        <w:rPr>
          <w:rFonts w:hint="eastAsia" w:ascii="方正仿宋_GBK" w:eastAsia="方正仿宋_GBK"/>
          <w:sz w:val="32"/>
          <w:szCs w:val="32"/>
        </w:rPr>
      </w:pPr>
      <w:r>
        <w:rPr>
          <w:rFonts w:hint="eastAsia" w:ascii="方正仿宋_GBK" w:eastAsia="方正仿宋_GBK"/>
          <w:sz w:val="32"/>
          <w:szCs w:val="32"/>
        </w:rPr>
        <w:t>成都经开融资担保有限公司系成都经开资本投资集团有限公司子公司，成立于</w:t>
      </w:r>
      <w:r>
        <w:rPr>
          <w:rFonts w:ascii="Times New Roman" w:hAnsi="Times New Roman" w:eastAsia="方正仿宋_GBK" w:cs="Times New Roman"/>
          <w:sz w:val="32"/>
          <w:szCs w:val="32"/>
        </w:rPr>
        <w:t>2008</w:t>
      </w:r>
      <w:r>
        <w:rPr>
          <w:rFonts w:hint="eastAsia" w:ascii="方正仿宋_GBK" w:eastAsia="方正仿宋_GBK"/>
          <w:sz w:val="32"/>
          <w:szCs w:val="32"/>
        </w:rPr>
        <w:t>年，注册资本</w:t>
      </w:r>
      <w:r>
        <w:rPr>
          <w:rFonts w:hint="eastAsia" w:ascii="Times New Roman" w:hAnsi="Times New Roman" w:eastAsia="方正仿宋_GBK" w:cs="Times New Roman"/>
          <w:sz w:val="32"/>
          <w:szCs w:val="32"/>
          <w:lang w:val="en-US" w:eastAsia="zh-CN"/>
        </w:rPr>
        <w:t>5亿</w:t>
      </w:r>
      <w:r>
        <w:rPr>
          <w:rFonts w:hint="eastAsia" w:ascii="方正仿宋_GBK" w:eastAsia="方正仿宋_GBK"/>
          <w:sz w:val="32"/>
          <w:szCs w:val="32"/>
        </w:rPr>
        <w:t>元，于</w:t>
      </w:r>
      <w:r>
        <w:rPr>
          <w:rFonts w:ascii="Times New Roman" w:hAnsi="Times New Roman" w:eastAsia="方正仿宋_GBK" w:cs="Times New Roman"/>
          <w:sz w:val="32"/>
          <w:szCs w:val="32"/>
        </w:rPr>
        <w:t>2023</w:t>
      </w:r>
      <w:r>
        <w:rPr>
          <w:rFonts w:hint="eastAsia" w:ascii="方正仿宋_GBK" w:eastAsia="方正仿宋_GBK"/>
          <w:sz w:val="32"/>
          <w:szCs w:val="32"/>
        </w:rPr>
        <w:t>年</w:t>
      </w:r>
      <w:r>
        <w:rPr>
          <w:rFonts w:ascii="Times New Roman" w:hAnsi="Times New Roman" w:eastAsia="方正仿宋_GBK" w:cs="Times New Roman"/>
          <w:sz w:val="32"/>
          <w:szCs w:val="32"/>
        </w:rPr>
        <w:t>11</w:t>
      </w:r>
      <w:r>
        <w:rPr>
          <w:rFonts w:hint="eastAsia" w:ascii="方正仿宋_GBK" w:eastAsia="方正仿宋_GBK"/>
          <w:sz w:val="32"/>
          <w:szCs w:val="32"/>
        </w:rPr>
        <w:t>月入围四川省第三批政府性融资担保机构。经营范围包括融资性担保及非融资性担保</w:t>
      </w:r>
      <w:r>
        <w:rPr>
          <w:rFonts w:hint="eastAsia" w:ascii="方正仿宋_GBK" w:eastAsia="方正仿宋_GBK"/>
          <w:sz w:val="32"/>
          <w:szCs w:val="32"/>
          <w:lang w:eastAsia="zh-CN"/>
        </w:rPr>
        <w:t>。</w:t>
      </w:r>
      <w:r>
        <w:rPr>
          <w:rFonts w:hint="eastAsia" w:ascii="方正仿宋_GBK" w:eastAsia="方正仿宋_GBK"/>
          <w:sz w:val="32"/>
          <w:szCs w:val="32"/>
        </w:rPr>
        <w:t>成立至今，经开担保公司已累计服务中小微企业和“三农”客户</w:t>
      </w:r>
      <w:r>
        <w:rPr>
          <w:rFonts w:ascii="Times New Roman" w:hAnsi="Times New Roman" w:eastAsia="方正仿宋_GBK" w:cs="Times New Roman"/>
          <w:sz w:val="32"/>
          <w:szCs w:val="32"/>
        </w:rPr>
        <w:t>5000</w:t>
      </w:r>
      <w:r>
        <w:rPr>
          <w:rFonts w:hint="eastAsia" w:ascii="方正仿宋_GBK" w:eastAsia="方正仿宋_GBK"/>
          <w:sz w:val="32"/>
          <w:szCs w:val="32"/>
        </w:rPr>
        <w:t>余户，为龙泉驿区及省内企业提供融资担保金额逾</w:t>
      </w:r>
      <w:r>
        <w:rPr>
          <w:rFonts w:ascii="Times New Roman" w:hAnsi="Times New Roman" w:eastAsia="方正仿宋_GBK" w:cs="Times New Roman"/>
          <w:sz w:val="32"/>
          <w:szCs w:val="32"/>
        </w:rPr>
        <w:t>74</w:t>
      </w:r>
      <w:r>
        <w:rPr>
          <w:rFonts w:hint="eastAsia" w:ascii="方正仿宋_GBK" w:eastAsia="方正仿宋_GBK"/>
          <w:sz w:val="32"/>
          <w:szCs w:val="32"/>
        </w:rPr>
        <w:t>亿元，担保费率持续控制在</w:t>
      </w:r>
      <w:r>
        <w:rPr>
          <w:rFonts w:ascii="Times New Roman" w:hAnsi="Times New Roman" w:eastAsia="方正仿宋_GBK" w:cs="Times New Roman"/>
          <w:sz w:val="32"/>
          <w:szCs w:val="32"/>
        </w:rPr>
        <w:t>1%</w:t>
      </w:r>
      <w:r>
        <w:rPr>
          <w:rFonts w:hint="eastAsia" w:ascii="方正仿宋_GBK" w:eastAsia="方正仿宋_GBK"/>
          <w:sz w:val="32"/>
          <w:szCs w:val="32"/>
        </w:rPr>
        <w:t>以内。</w:t>
      </w:r>
      <w:r>
        <w:rPr>
          <w:rFonts w:ascii="Times New Roman" w:hAnsi="Times New Roman" w:eastAsia="方正仿宋_GBK" w:cs="Times New Roman"/>
          <w:sz w:val="32"/>
          <w:szCs w:val="32"/>
        </w:rPr>
        <w:t>2022</w:t>
      </w:r>
      <w:r>
        <w:rPr>
          <w:rFonts w:hint="eastAsia" w:ascii="方正仿宋_GBK" w:eastAsia="方正仿宋_GBK"/>
          <w:sz w:val="32"/>
          <w:szCs w:val="32"/>
        </w:rPr>
        <w:t>年被成都市担保业协会聘为理事单位。</w:t>
      </w:r>
      <w:r>
        <w:rPr>
          <w:rFonts w:ascii="Times New Roman" w:hAnsi="Times New Roman" w:eastAsia="方正仿宋_GBK" w:cs="Times New Roman"/>
          <w:sz w:val="32"/>
          <w:szCs w:val="32"/>
        </w:rPr>
        <w:t>2023</w:t>
      </w:r>
      <w:r>
        <w:rPr>
          <w:rFonts w:hint="eastAsia" w:ascii="方正仿宋_GBK" w:eastAsia="方正仿宋_GBK"/>
          <w:sz w:val="32"/>
          <w:szCs w:val="32"/>
        </w:rPr>
        <w:t>年荣获市再担公司“最佳合作伙伴”荣誉、市担保协会“普惠信贷奖”和省再</w:t>
      </w:r>
      <w:r>
        <w:rPr>
          <w:rFonts w:hint="eastAsia" w:ascii="方正仿宋_GBK" w:eastAsia="方正仿宋_GBK"/>
          <w:sz w:val="32"/>
          <w:szCs w:val="32"/>
          <w:lang w:eastAsia="zh-CN"/>
        </w:rPr>
        <w:t>担</w:t>
      </w:r>
      <w:r>
        <w:rPr>
          <w:rFonts w:hint="eastAsia" w:ascii="方正仿宋_GBK" w:eastAsia="方正仿宋_GBK"/>
          <w:sz w:val="32"/>
          <w:szCs w:val="32"/>
        </w:rPr>
        <w:t>公司“高质量合作示范机构”；</w:t>
      </w:r>
      <w:r>
        <w:rPr>
          <w:rFonts w:ascii="Times New Roman" w:hAnsi="Times New Roman" w:eastAsia="方正仿宋_GBK" w:cs="Times New Roman"/>
          <w:sz w:val="32"/>
          <w:szCs w:val="32"/>
        </w:rPr>
        <w:t>2024</w:t>
      </w:r>
      <w:r>
        <w:rPr>
          <w:rFonts w:hint="eastAsia" w:ascii="方正仿宋_GBK" w:eastAsia="方正仿宋_GBK"/>
          <w:sz w:val="32"/>
          <w:szCs w:val="32"/>
        </w:rPr>
        <w:t>年再度荣获成都市再担公司“最佳合作伙伴”荣誉。</w:t>
      </w:r>
    </w:p>
    <w:p w14:paraId="01751063">
      <w:pPr>
        <w:spacing w:after="0" w:line="579" w:lineRule="exact"/>
        <w:ind w:firstLine="640" w:firstLineChars="200"/>
        <w:jc w:val="both"/>
        <w:rPr>
          <w:rFonts w:hint="eastAsia" w:ascii="方正仿宋_GBK" w:eastAsia="方正仿宋_GBK"/>
          <w:sz w:val="32"/>
          <w:szCs w:val="32"/>
        </w:rPr>
      </w:pPr>
    </w:p>
    <w:sectPr>
      <w:footerReference r:id="rId5" w:type="default"/>
      <w:pgSz w:w="11906" w:h="16838"/>
      <w:pgMar w:top="2098" w:right="1474" w:bottom="1985"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922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DEC687">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DDEC687">
                    <w:pPr>
                      <w:pStyle w:val="1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95"/>
    <w:rsid w:val="00053DAA"/>
    <w:rsid w:val="00A576E1"/>
    <w:rsid w:val="00A676C1"/>
    <w:rsid w:val="00B93E95"/>
    <w:rsid w:val="00C119FA"/>
    <w:rsid w:val="00F217A6"/>
    <w:rsid w:val="11535F22"/>
    <w:rsid w:val="1531355A"/>
    <w:rsid w:val="1DE91911"/>
    <w:rsid w:val="1F537B44"/>
    <w:rsid w:val="23E57A93"/>
    <w:rsid w:val="24813D88"/>
    <w:rsid w:val="40C31C84"/>
    <w:rsid w:val="52801B2F"/>
    <w:rsid w:val="644E2870"/>
    <w:rsid w:val="7D965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
    <w:qFormat/>
    <w:uiPriority w:val="1"/>
    <w:pPr>
      <w:autoSpaceDE w:val="0"/>
      <w:autoSpaceDN w:val="0"/>
      <w:jc w:val="left"/>
    </w:pPr>
    <w:rPr>
      <w:rFonts w:ascii="仿宋_GB2312" w:hAnsi="仿宋_GB2312" w:eastAsia="仿宋_GB2312" w:cs="仿宋_GB2312"/>
      <w:b/>
      <w:bCs/>
      <w:kern w:val="0"/>
      <w:sz w:val="34"/>
      <w:szCs w:val="34"/>
      <w:lang w:val="zh-CN" w:bidi="zh-CN"/>
    </w:r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2375</Words>
  <Characters>2500</Characters>
  <Lines>42</Lines>
  <Paragraphs>17</Paragraphs>
  <TotalTime>0</TotalTime>
  <ScaleCrop>false</ScaleCrop>
  <LinksUpToDate>false</LinksUpToDate>
  <CharactersWithSpaces>2500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2025-09-23T15:17:00Z</dcterms:created>
  <dc:creator>362446857@qq.com</dc:creator>
  <cp:lastModifiedBy>李继</cp:lastModifiedBy>
  <dcterms:modified xsi:type="dcterms:W3CDTF">2025-09-24T08:28:52Z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eyJoZGlkIjoiYzU1OThlMDc3MGIwNGY5M2ZjZWI0MGE4Yzc4ZTA4MGEiLCJ1c2VySWQiOiIxNjUwNzAzNjEzIn0=</vt:lpwstr>
  </property>
  <property fmtid="{D5CDD505-2E9C-101B-9397-08002B2CF9AE}" pid="3" name="KSOProductBuildVer">
    <vt:lpwstr>2052-12.1.0.21915</vt:lpwstr>
  </property>
  <property fmtid="{D5CDD505-2E9C-101B-9397-08002B2CF9AE}" pid="4" name="ICV">
    <vt:lpwstr>670B9257E2DC4291AE8EDF123DF75F58_12</vt:lpwstr>
  </property>
</Properties>
</file>