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40" w:lineRule="exact"/>
        <w:ind w:left="0"/>
        <w:jc w:val="left"/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</w:pPr>
      <w:r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附件4</w:t>
      </w:r>
    </w:p>
    <w:p>
      <w:pPr>
        <w:spacing w:line="640" w:lineRule="exact"/>
        <w:ind w:left="0"/>
        <w:jc w:val="left"/>
        <w:rPr>
          <w:rFonts w:ascii="Times New Roman" w:eastAsia="方正黑体_GBK" w:hAnsi="Times New Roman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</w:p>
    <w:p>
      <w:pPr>
        <w:spacing w:line="640" w:lineRule="exact"/>
        <w:ind w:left="0" w:firstLine="5"/>
        <w:jc w:val="center"/>
        <w:rPr>
          <w:rFonts w:ascii="Times New Roman" w:eastAsia="方正小标宋_GBK" w:hAnsi="Times New Roman"/>
          <w:b/>
          <w:bCs/>
          <w:color w:val="000000"/>
          <w:sz w:val="44"/>
          <w:szCs w:val="44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小标宋_GBK" w:hAnsi="Times New Roman"/>
          <w:b/>
          <w:bCs/>
          <w:color w:val="000000"/>
          <w:sz w:val="44"/>
          <w:szCs w:val="44"/>
          <w14:textFill>
            <w14:solidFill>
              <w14:srgbClr w14:val="000000"/>
            </w14:solidFill>
          </w14:textFill>
        </w:rPr>
        <w:t>专业目录</w:t>
      </w:r>
    </w:p>
    <w:p>
      <w:pPr>
        <w:spacing w:line="640" w:lineRule="exact"/>
        <w:jc w:val="left"/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640" w:lineRule="exact"/>
        <w:ind w:firstLineChars="200" w:firstLine="640"/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一、法学类</w:t>
      </w:r>
    </w:p>
    <w:p>
      <w:pPr>
        <w:spacing w:line="640" w:lineRule="exact"/>
        <w:ind w:firstLineChars="200" w:firstLine="640"/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法律事务、法律、律师、法学、比较法学、知识产权、知识产权法、知识产权法学、监狱学、电子商务与法律、法学理论、法律史、中国刑法学、经济刑法学、犯罪学、宪法与行政法学、宪法学与行政法学、刑法、刑法学、民法、民法学、刑事诉讼法学、商法、国际商法、民商法、民商法学、诉讼法、诉讼法学、经济法、经济法学、环境与资源保护法、环境与资源保护法学、国际法、刑事司法、刑事司法学、国际法学、国际经济法、军事法学、比较刑法学、法律硕士、行政法、行政法学、行政诉讼法学、法律逻辑学、民族法学、应用法学、医事法律、医事法学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法律与经济、法律与金融、金融服务法、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金融法学、人权法学、财税法学、反恐怖主义法学、劳动法学和社会保障法、证据法学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、人工智能法学、知识产权与人工智能法学、社会法学、数据法学、数字法学、司法警察学、法与经济学</w:t>
      </w:r>
    </w:p>
    <w:p>
      <w:pPr>
        <w:spacing w:line="640" w:lineRule="exact"/>
        <w:ind w:firstLineChars="200" w:firstLine="640"/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二、</w:t>
      </w:r>
      <w:r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公安警察</w:t>
      </w:r>
      <w:r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类</w:t>
      </w:r>
      <w:bookmarkStart w:id="0" w:name="_GoBack"/>
      <w:bookmarkEnd w:id="0"/>
    </w:p>
    <w:p>
      <w:pPr>
        <w:spacing w:line="640" w:lineRule="exact"/>
        <w:ind w:firstLineChars="200" w:firstLine="640"/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</w:pP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侦查学、经济犯罪侦查、公安安全保卫、公安文秘、安全保卫、警卫、警卫学、公安、公安学、犯罪社会学、警察心理学、警务战术训练、警察科学、警务、犯罪心理学、治安、治安学、治安管理、交通管理、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交通管理工程、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警察管理、公共安全管理、信息网络安全监察、</w:t>
      </w:r>
      <w:r>
        <w:rPr>
          <w:rFonts w:ascii="Times New Roman" w:eastAsia="方正仿宋_GBK" w:hAnsi="Times New Roman"/>
          <w:b/>
          <w:bCs/>
          <w:i w:val="0"/>
          <w:iCs w:val="0"/>
          <w:caps w:val="0"/>
          <w:smallCaps w:val="0"/>
          <w:color w:val="000000"/>
          <w:spacing w:val="0"/>
          <w:kern w:val="0"/>
          <w:sz w:val="32"/>
          <w:szCs w:val="32"/>
          <w14:textFill>
            <w14:solidFill>
              <w14:srgbClr w14:val="000000"/>
            </w14:solidFill>
          </w14:textFill>
          <w:lang w:val="en-US" w:eastAsia="zh-CN" w:bidi="ar-SA"/>
        </w:rPr>
        <w:t>网络安全与执法、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禁毒、警察指挥与战术、参谋业务、抢险救援、刑事侦查、刑事侦察、技术侦查、公安信息技术、禁毒学、公安情报学、犯罪学、公安管理、公安管理学、涉外警务、国内安全保卫、警务指挥与战术、司法警务、公安技术、刑事科学技术、公安视听技术、文件检验技术、痕迹检验、刑事图像技术、犯罪心理及测试研究、信息安全及计算机犯罪侦查、公安信息系统与指挥决策、法化学、刑事技术、文件鉴定、反恐警务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物证技术学、狱政管理、刑事执行、劳教管理、罪犯教育、罪犯心理矫治、监所管理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司法警察、刑事侦查技术、罪犯心理测量与矫正技术、行政执行、司法信息安全、司法信息技术、法律文秘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、国家安全学</w:t>
      </w:r>
    </w:p>
    <w:p>
      <w:pPr>
        <w:spacing w:line="640" w:lineRule="exact"/>
        <w:ind w:firstLineChars="200" w:firstLine="640"/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三、新闻传播学类</w:t>
      </w:r>
    </w:p>
    <w:p>
      <w:pPr>
        <w:spacing w:line="640" w:lineRule="exact"/>
        <w:ind w:firstLineChars="200" w:firstLine="640"/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</w:pP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新闻、新闻学、传播学、新闻传播、新闻传播学、国际新闻、国际新闻学、新闻与传播、国际新闻与传播、出版、出版研究、编辑出版学、媒体与文化分析、影视动画、广播电视学、广播电视新闻学、广告学、媒体创意、网络与新媒体、数字出版、新媒体与信息网络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、数字媒体</w:t>
      </w:r>
    </w:p>
    <w:p>
      <w:pPr>
        <w:spacing w:line="640" w:lineRule="exact"/>
        <w:ind w:firstLineChars="200" w:firstLine="640"/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四、文史哲类</w:t>
      </w:r>
    </w:p>
    <w:p>
      <w:pPr>
        <w:spacing w:line="640" w:lineRule="exact"/>
        <w:ind w:firstLineChars="200" w:firstLine="640"/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汉语言文学、汉语言、中国少数民族语言文学、中国古典文献学、应用语言学、秘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fldChar w:fldCharType="begin"/>
      </w:r>
      <w:r>
        <w:instrText>HYPERLINK "https://www.dxsbb.com/news/list_79.html"</w:instrTex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fldChar w:fldCharType="separate"/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书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fldChar w:fldCharType="end"/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学、中国语言与文化、比较文学与世界文学、古典学、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中国古典学、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汉语国际传播、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汉语国际教育、国际中文教育、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汉语言文字学、媒体语言学、语言学及应用语言学、中国古代文学、中国现当代文学、中国语言文学、文秘、现代汉语语言学、写作学、写作理论与实践、文艺学、高级秘书与行政助理学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历史学、世界史、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中国史、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中国古代史、中国现代史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哲学、逻辑学、马克思主义哲学、中国哲学、政治哲学、外国哲学</w:t>
      </w:r>
    </w:p>
    <w:p>
      <w:pPr>
        <w:spacing w:line="640" w:lineRule="exact"/>
        <w:ind w:firstLineChars="200" w:firstLine="640"/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五、计算机科学与技术类</w:t>
      </w:r>
    </w:p>
    <w:p>
      <w:pPr>
        <w:spacing w:line="640" w:lineRule="exact"/>
        <w:ind w:firstLineChars="200" w:firstLine="640"/>
        <w:rPr>
          <w:rFonts w:ascii="Times New Roman" w:eastAsia="方正仿宋_GBK" w:hAnsi="Times New Roman"/>
          <w:b/>
          <w:bCs/>
          <w:color w:val="000000"/>
          <w:sz w:val="33"/>
          <w:szCs w:val="33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计算机科学技术、计算机科学与技术、计算机系统结构、计算机软件与理论、计算机应用、计算机应用技术、计算机网络技术、计算机网络工程、计算机网络、计算机与信息管理、计算机技术、计算机系统维护、计算机数据库、计算机控制技术、计算机管理、计算机控制、网络信息安全、信息安全、网络工程、信息安全工程、网络安全技术与工程、保密科学与技术、大数据科学与工程、数据科学、数据科学和信息技术、数字媒体技术、物联网工程、物联网工程与技术、物联网技术、软件工程、智能科学与技术、空间信息与数字技术、电子与计算机工程、数据科学与大数据技术、网络空间安全、新媒体技术、保密技术、密码科学与技术、网络技术、数据库技术、数据库、科技防卫、信息管理与信息系统、信息管理与服务、软件与信息服务、大数据技术、大数据技术应用、信息安全技术应用、应用软件工程、智能科学与技术、通信工程</w:t>
      </w:r>
    </w:p>
    <w:p>
      <w:pPr>
        <w:spacing w:line="640" w:lineRule="exact"/>
        <w:ind w:firstLineChars="200" w:firstLine="640"/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Times New Roman" w:eastAsia="方正黑体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六、财务类</w:t>
      </w:r>
    </w:p>
    <w:p>
      <w:pPr>
        <w:spacing w:line="640" w:lineRule="exact"/>
        <w:ind w:firstLineChars="200" w:firstLine="640"/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Times New Roman" w:eastAsia="方正仿宋_GBK" w:hAnsi="Times New Roman"/>
          <w:b/>
          <w:bCs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财务管理、审计、审计学、会计、会计学、审计实务、财务会计、财务学、财政学、统计学、应用统计、应用统计学、经济统计学、会计与审计、财政学、税收学、税务与会计、财务会计教育、会计电算化、财务电算化、会计与统计核算、财务信息管理、财会、会计信息化、审计理论研究、内部控制与内部审计、独立审计与实务、会计硕士、国民经济管理、税务、资产评估、经济学、金融、金融学</w:t>
      </w:r>
    </w:p>
    <w:p>
      <w:pPr>
        <w:rPr>
          <w:rFonts w:ascii="Times New Roman" w:hAnsi="Times New Roman"/>
          <w:b/>
          <w:bCs/>
          <w:color w:val="000000"/>
          <w14:textFill>
            <w14:solidFill>
              <w14:srgbClr w14:val="000000"/>
            </w14:solidFill>
          </w14:textFill>
        </w:rPr>
      </w:pPr>
    </w:p>
    <w:p>
      <w:pPr>
        <w:rPr>
          <w:rFonts w:ascii="Times New Roman" w:hAnsi="Times New Roman"/>
          <w:color w:val="000000"/>
          <w14:textFill>
            <w14:solidFill>
              <w14:srgbClr w14:val="000000"/>
            </w14:solidFill>
          </w14:textFill>
        </w:rPr>
      </w:pPr>
    </w:p>
    <w:sectPr>
      <w:footerReference w:type="default" r:id="rId2"/>
      <w:footerReference w:type="even" r:id="rId3"/>
      <w:footerReference w:type="first" r:id="rId4"/>
      <w:pgSz w:w="11907" w:h="16840"/>
      <w:pgMar w:top="2098" w:right="1531" w:bottom="1985" w:left="153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ascii="Times New Roman" w:hAnsi="Times New Roman"/>
        <w:b/>
        <w:bCs/>
        <w:sz w:val="28"/>
        <w:szCs w:val="28"/>
      </w:rPr>
    </w:pPr>
    <w:r>
      <w:rPr>
        <w:rStyle w:val="16"/>
        <w:rFonts w:ascii="Times New Roman" w:hAnsi="Times New Roman"/>
        <w:b/>
        <w:bCs/>
        <w:sz w:val="28"/>
        <w:szCs w:val="28"/>
      </w:rPr>
      <w:fldChar w:fldCharType="begin"/>
    </w:r>
    <w:r>
      <w:rPr>
        <w:rStyle w:val="16"/>
        <w:rFonts w:ascii="Times New Roman" w:hAnsi="Times New Roman"/>
        <w:b/>
        <w:bCs/>
        <w:sz w:val="28"/>
        <w:szCs w:val="28"/>
      </w:rPr>
      <w:instrText>Page</w:instrText>
    </w:r>
    <w:r>
      <w:rPr>
        <w:rStyle w:val="16"/>
        <w:rFonts w:ascii="Times New Roman" w:hAnsi="Times New Roman"/>
        <w:b/>
        <w:bCs/>
        <w:sz w:val="28"/>
        <w:szCs w:val="28"/>
      </w:rPr>
      <w:fldChar w:fldCharType="separate"/>
    </w:r>
    <w:r>
      <w:rPr>
        <w:rStyle w:val="16"/>
        <w:rFonts w:ascii="Times New Roman" w:hAnsi="Times New Roman"/>
        <w:b/>
        <w:bCs/>
        <w:sz w:val="28"/>
        <w:szCs w:val="28"/>
      </w:rPr>
      <w:t>— 1 —</w:t>
    </w:r>
    <w:r>
      <w:rPr>
        <w:rStyle w:val="16"/>
        <w:rFonts w:ascii="Times New Roman" w:hAnsi="Times New Roman"/>
        <w:b/>
        <w:bCs/>
        <w:sz w:val="28"/>
        <w:szCs w:val="28"/>
      </w:rPr>
      <w:fldChar w:fldCharType="end"/>
    </w:r>
  </w:p>
  <w:p>
    <w:pPr>
      <w:pStyle w:val="15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6"/>
      </w:rPr>
      <w:fldChar w:fldCharType="begin"/>
    </w:r>
    <w:r>
      <w:rPr>
        <w:rStyle w:val="16"/>
      </w:rPr>
      <w:instrText>Page</w:instrText>
    </w:r>
    <w:r>
      <w:rPr>
        <w:rStyle w:val="16"/>
      </w:rPr>
      <w:fldChar w:fldCharType="separate"/>
    </w:r>
    <w:r>
      <w:rPr>
        <w:rStyle w:val="16"/>
      </w:rPr>
      <w:t>— 1 —</w:t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6"/>
      </w:rPr>
      <w:fldChar w:fldCharType="begin"/>
    </w:r>
    <w:r>
      <w:rPr>
        <w:rStyle w:val="16"/>
      </w:rPr>
      <w:instrText>Page</w:instrText>
    </w:r>
    <w:r>
      <w:rPr>
        <w:rStyle w:val="16"/>
      </w:rPr>
      <w:fldChar w:fldCharType="separate"/>
    </w:r>
    <w:r>
      <w:rPr>
        <w:rStyle w:val="16"/>
      </w:rPr>
      <w:t>— 1 —</w:t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8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uppressAutoHyphens/>
      <w:bidi w:val="0"/>
      <w:jc w:val="both"/>
    </w:pPr>
    <w:rPr>
      <w:rFonts w:ascii="Calibri" w:eastAsia="宋体" w:cs="Times New Roman" w:hAnsi="Calibri"/>
      <w:color w:val="auto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6">
    <w:name w:val="page number"/>
    <w:basedOn w:val="10"/>
  </w:style>
  <w:style w:type="paragraph" w:styleId="34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A36B52F9-9DE6-46EE-93F6-AB0D91ADE7C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4</Pages>
  <Words>1698</Words>
  <Characters>1698</Characters>
  <Lines>74</Lines>
  <Paragraphs>14</Paragraphs>
  <CharactersWithSpaces>1698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Administrator.DESKTOP-84BVI5K</dc:creator>
  <cp:lastModifiedBy>user</cp:lastModifiedBy>
  <cp:revision>0</cp:revision>
  <cp:lastPrinted>2025-10-15T07:33:54Z</cp:lastPrinted>
  <dcterms:created xsi:type="dcterms:W3CDTF">2025-09-17T03:33:00Z</dcterms:created>
  <dcterms:modified xsi:type="dcterms:W3CDTF">2025-10-15T07:34:32Z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2052-11.8.2.11961</vt:lpwstr>
  </property>
  <property fmtid="{D5CDD505-2E9C-101B-9397-08002B2CF9AE}" pid="3" name="KSOTemplateDocerSaveRecord">
    <vt:lpwstr>eyJoZGlkIjoiZGZjZmIxYjM5YzdjZjc2MTVjNzI4NTAwNTA3NTdhOWMifQ==</vt:lpwstr>
  </property>
  <property fmtid="{D5CDD505-2E9C-101B-9397-08002B2CF9AE}" pid="4" name="ICV">
    <vt:lpwstr>7516662165884A8F91A289EAEA5114FF_13</vt:lpwstr>
  </property>
</Properties>
</file>