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sz w:val="44"/>
          <w:szCs w:val="40"/>
          <w:lang w:val="en-US" w:eastAsia="zh-CN"/>
        </w:rPr>
      </w:pPr>
      <w:r>
        <w:rPr>
          <w:rFonts w:hint="eastAsia" w:ascii="方正小标宋简体" w:hAnsi="方正小标宋简体" w:eastAsia="方正小标宋简体" w:cs="方正小标宋简体"/>
          <w:sz w:val="44"/>
          <w:szCs w:val="40"/>
          <w:lang w:val="en-US" w:eastAsia="zh-CN"/>
        </w:rPr>
        <w:t>阳江市阳东区区属有关国有企业简介</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outlineLvl w:val="2"/>
        <w:rPr>
          <w:rFonts w:hint="eastAsia" w:ascii="方正楷体简体" w:hAnsi="方正楷体简体" w:eastAsia="方正楷体简体" w:cs="方正楷体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lang w:val="en-US" w:eastAsia="zh-CN"/>
        </w:rPr>
        <w:t>阳江市阳东区食品集团有限公司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简体" w:cs="Times New Roman"/>
          <w:sz w:val="32"/>
          <w:szCs w:val="28"/>
          <w:lang w:val="en-US" w:eastAsia="zh-CN"/>
        </w:rPr>
      </w:pPr>
      <w:r>
        <w:rPr>
          <w:rFonts w:hint="eastAsia" w:ascii="宋体" w:hAnsi="宋体" w:eastAsia="方正仿宋简体" w:cs="Times New Roman"/>
          <w:sz w:val="32"/>
          <w:szCs w:val="28"/>
          <w:lang w:val="en-US" w:eastAsia="zh-CN"/>
        </w:rPr>
        <w:t>阳东区食品集团于2022年7月4日在原阳江市阳东区食品集团有限公司基础上组建而成，</w:t>
      </w:r>
      <w:r>
        <w:rPr>
          <w:rFonts w:hint="eastAsia" w:ascii="宋体" w:hAnsi="宋体" w:eastAsia="方正仿宋简体" w:cs="Times New Roman"/>
          <w:sz w:val="32"/>
          <w:szCs w:val="28"/>
          <w:highlight w:val="none"/>
          <w:lang w:val="en-US" w:eastAsia="zh-CN"/>
        </w:rPr>
        <w:t>以</w:t>
      </w:r>
      <w:r>
        <w:rPr>
          <w:rFonts w:hint="eastAsia" w:ascii="宋体" w:hAnsi="宋体" w:eastAsia="方正仿宋简体" w:cs="方正仿宋简体"/>
          <w:sz w:val="32"/>
          <w:szCs w:val="32"/>
          <w:lang w:val="en-US" w:eastAsia="zh-CN"/>
        </w:rPr>
        <w:t>“畜牧渔业+食品生产销售+冷链仓储物流+海洋牧场”为主业，公司注册资金达1188万元，集团总资产达5.4亿元，</w:t>
      </w:r>
      <w:r>
        <w:rPr>
          <w:rFonts w:hint="eastAsia" w:ascii="宋体" w:hAnsi="宋体" w:eastAsia="方正仿宋简体" w:cs="Times New Roman"/>
          <w:sz w:val="32"/>
          <w:szCs w:val="28"/>
          <w:lang w:val="en-US" w:eastAsia="zh-CN"/>
        </w:rPr>
        <w:t>下属12家二级子公司，其中东粮粮食储备有限公司是省粮食局批准设立的国有粮食储备企业。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方正仿宋简体" w:cs="Times New Roman"/>
          <w:sz w:val="32"/>
          <w:szCs w:val="28"/>
          <w:lang w:val="en-US" w:eastAsia="zh-CN"/>
        </w:rPr>
      </w:pPr>
      <w:r>
        <w:rPr>
          <w:rFonts w:hint="eastAsia" w:ascii="宋体" w:hAnsi="宋体" w:eastAsia="方正仿宋简体" w:cs="Times New Roman"/>
          <w:sz w:val="32"/>
          <w:szCs w:val="28"/>
          <w:lang w:val="en-US" w:eastAsia="zh-CN"/>
        </w:rPr>
        <w:t>区食品集团在2022年被广东省肉类协会评为年度“先进企业”、2024年荣获“阳江市重点农业龙头企业”称号，是广东省肉协理事单位，公司切实履行食品安全主体责任，投入大量技改资金升级改造东城、东平、合山等5家屠宰厂（场）进行升级改造，配备PCR“非洲猪瘟”实验室、肉品品质检验室等专业设施，形成“设施标准化、生产规范化、管理制度化、监管常态化、配送冷链化、追溯信息化”的“六化”运作模式。2024年阳东区政府授予食品集团为东平渔港经济区开发平台企业，经区政府批准为阳东区海洋牧场一级开发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方正仿宋简体" w:cs="Times New Roman"/>
          <w:sz w:val="32"/>
          <w:szCs w:val="28"/>
          <w:lang w:val="en-US" w:eastAsia="zh-CN"/>
        </w:rPr>
        <w:t>未来，区食品集团将持续拓展业务版图，持续发挥行业引领作用，助力产业升级与高质量发展。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宋体" w:hAnsi="宋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宋体" w:hAnsi="宋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阳江市阳东万象置业投资集团有限公司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简体" w:cs="Times New Roman"/>
          <w:sz w:val="32"/>
          <w:szCs w:val="28"/>
          <w:lang w:val="en-US" w:eastAsia="zh-CN"/>
        </w:rPr>
      </w:pPr>
      <w:r>
        <w:rPr>
          <w:rFonts w:hint="eastAsia" w:ascii="宋体" w:hAnsi="宋体" w:eastAsia="方正仿宋简体" w:cs="Times New Roman"/>
          <w:sz w:val="32"/>
          <w:szCs w:val="28"/>
          <w:lang w:val="en-US" w:eastAsia="zh-CN"/>
        </w:rPr>
        <w:t>阳江市阳东万象置业投资集团有限公司成立于2012年10月，为阳东区属国有企业和广东阳东经济开发区核心发展平台公司，于2023年5月完成集团化改革，形成以集团公司为核心管控，</w:t>
      </w:r>
      <w:r>
        <w:rPr>
          <w:rFonts w:hint="eastAsia" w:ascii="宋体" w:hAnsi="宋体" w:eastAsia="方正仿宋简体" w:cs="方正仿宋简体"/>
          <w:sz w:val="32"/>
          <w:szCs w:val="32"/>
          <w:lang w:val="en-US" w:eastAsia="zh-CN"/>
        </w:rPr>
        <w:t>以“园区基础设施开发运营+园区管理+园区服务”为主业，公司注册资金达2100万元，集团总资产达</w:t>
      </w:r>
      <w:r>
        <w:rPr>
          <w:rFonts w:hint="eastAsia" w:ascii="宋体" w:hAnsi="宋体" w:eastAsia="方正仿宋简体" w:cs="方正仿宋简体"/>
          <w:sz w:val="32"/>
          <w:szCs w:val="32"/>
          <w:highlight w:val="none"/>
          <w:lang w:val="en-US" w:eastAsia="zh-CN"/>
        </w:rPr>
        <w:t>26.5</w:t>
      </w:r>
      <w:r>
        <w:rPr>
          <w:rFonts w:hint="eastAsia" w:ascii="宋体" w:hAnsi="宋体" w:eastAsia="方正仿宋简体" w:cs="方正仿宋简体"/>
          <w:sz w:val="32"/>
          <w:szCs w:val="32"/>
          <w:lang w:val="en-US" w:eastAsia="zh-CN"/>
        </w:rPr>
        <w:t>亿元，为我区第一家企业主体信用评级AA的国企，下属5家全资子公司、1家合资公司以及1家创投基金合伙企业。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阳东万象集团先后荣获2022年阳东区“融湾先行”十大攻坚行动先锋施工单位、2023年阳东区高质量发展突出贡献奖等多项荣誉，充分展示了其作为区属国企的实力与担当。</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万象集团全面负责省级产业转移工业园——阳东产业园区的开发运营，深度参与区域产业生态构建，开发打造了五金刀剪通用厂房示范区、广东阳江（阳东区）绿能示范产业园、珠海（阳江万象）产业转移园二期等多个项目。同时积极布局新型基础设施，推进阳东区科创、创业孵化基地建设，计划通过“研发+生产”“创新+孵化”模式培育新兴产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在运营服务方面，集团为入驻企业提供人力资源、综合金融等配套服务，同时拓展园区物流、屋顶光伏、分布式风电等新型业务，推动绿色能源与新型储能协同发展。</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方正仿宋简体" w:hAnsi="方正仿宋简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未来，万象集团将持续深化“以投促引、以投促产”模式，加快科创孵化基地建设，积极布局低空经济基础配套设施，进一步强化产业集聚效应。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BECAA"/>
    <w:multiLevelType w:val="multilevel"/>
    <w:tmpl w:val="8EDBECAA"/>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10055"/>
    <w:rsid w:val="01B73CE7"/>
    <w:rsid w:val="034F55E3"/>
    <w:rsid w:val="06BB0969"/>
    <w:rsid w:val="0FE80B2B"/>
    <w:rsid w:val="16120100"/>
    <w:rsid w:val="17840877"/>
    <w:rsid w:val="18A03BB4"/>
    <w:rsid w:val="1C5C4654"/>
    <w:rsid w:val="21236104"/>
    <w:rsid w:val="218B3331"/>
    <w:rsid w:val="22E10055"/>
    <w:rsid w:val="2C403992"/>
    <w:rsid w:val="2C5F2E20"/>
    <w:rsid w:val="2CAE7764"/>
    <w:rsid w:val="2DD81B09"/>
    <w:rsid w:val="32D22233"/>
    <w:rsid w:val="3C8171D8"/>
    <w:rsid w:val="3F07747E"/>
    <w:rsid w:val="3FFE5BEC"/>
    <w:rsid w:val="414974DE"/>
    <w:rsid w:val="47114526"/>
    <w:rsid w:val="4939462F"/>
    <w:rsid w:val="494D2CE2"/>
    <w:rsid w:val="4A172599"/>
    <w:rsid w:val="4FE06A05"/>
    <w:rsid w:val="54B74A12"/>
    <w:rsid w:val="56A404FF"/>
    <w:rsid w:val="603E1C3A"/>
    <w:rsid w:val="6DE50275"/>
    <w:rsid w:val="72E65949"/>
    <w:rsid w:val="76C129FA"/>
    <w:rsid w:val="79E7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jc w:val="center"/>
      <w:outlineLvl w:val="0"/>
    </w:pPr>
    <w:rPr>
      <w:rFonts w:ascii="Calibri" w:hAnsi="Calibri" w:eastAsia="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2025-10-17T03:15:00Z</dcterms:created>
  <dc:creator>yj128</dc:creator>
  <cp:lastModifiedBy>Administrator</cp:lastModifiedBy>
  <cp:lastPrinted>2025-10-23T10:40:00Z</cp:lastPrinted>
  <dcterms:modified xsi:type="dcterms:W3CDTF">2025-10-31T03:52:25Z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