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8AEB1">
      <w:pPr>
        <w:pStyle w:val="2"/>
        <w:ind w:left="0" w:leftChars="0" w:firstLine="0" w:firstLineChars="0"/>
        <w:jc w:val="center"/>
        <w:rPr>
          <w:rFonts w:hint="eastAsia" w:ascii="方正公文小标宋" w:hAnsi="方正公文小标宋" w:eastAsia="方正公文小标宋" w:cs="方正公文小标宋"/>
          <w:color w:val="auto"/>
          <w:kern w:val="2"/>
          <w:sz w:val="44"/>
          <w:szCs w:val="44"/>
          <w:highlight w:val="none"/>
          <w:vertAlign w:val="baseline"/>
          <w:lang w:val="en-US" w:eastAsia="zh-CN" w:bidi="ar-SA"/>
        </w:rPr>
      </w:pPr>
      <w:r>
        <w:rPr>
          <w:rFonts w:hint="eastAsia" w:ascii="方正公文小标宋" w:hAnsi="方正公文小标宋" w:eastAsia="方正公文小标宋" w:cs="方正公文小标宋"/>
          <w:color w:val="auto"/>
          <w:kern w:val="2"/>
          <w:sz w:val="44"/>
          <w:szCs w:val="44"/>
          <w:highlight w:val="none"/>
          <w:vertAlign w:val="baseline"/>
          <w:lang w:val="en-US" w:eastAsia="zh-CN" w:bidi="ar-SA"/>
        </w:rPr>
        <w:t>领导干部须回避的亲属关系信息表</w:t>
      </w:r>
    </w:p>
    <w:tbl>
      <w:tblPr>
        <w:tblStyle w:val="4"/>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29"/>
        <w:gridCol w:w="1325"/>
        <w:gridCol w:w="1102"/>
        <w:gridCol w:w="1173"/>
        <w:gridCol w:w="3010"/>
      </w:tblGrid>
      <w:tr w14:paraId="4FEF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18" w:type="dxa"/>
            <w:noWrap w:val="0"/>
            <w:vAlign w:val="center"/>
          </w:tcPr>
          <w:p w14:paraId="26A8EB5F">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本人姓名</w:t>
            </w:r>
          </w:p>
        </w:tc>
        <w:tc>
          <w:tcPr>
            <w:tcW w:w="1129" w:type="dxa"/>
            <w:noWrap w:val="0"/>
            <w:vAlign w:val="center"/>
          </w:tcPr>
          <w:p w14:paraId="0C497158">
            <w:pPr>
              <w:jc w:val="center"/>
              <w:rPr>
                <w:color w:val="auto"/>
                <w:highlight w:val="none"/>
                <w:vertAlign w:val="baseline"/>
              </w:rPr>
            </w:pPr>
          </w:p>
        </w:tc>
        <w:tc>
          <w:tcPr>
            <w:tcW w:w="1325" w:type="dxa"/>
            <w:noWrap w:val="0"/>
            <w:vAlign w:val="center"/>
          </w:tcPr>
          <w:p w14:paraId="385AA08D">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岗位</w:t>
            </w:r>
          </w:p>
        </w:tc>
        <w:tc>
          <w:tcPr>
            <w:tcW w:w="5285" w:type="dxa"/>
            <w:gridSpan w:val="3"/>
            <w:noWrap w:val="0"/>
            <w:vAlign w:val="center"/>
          </w:tcPr>
          <w:p w14:paraId="164FE189">
            <w:pPr>
              <w:jc w:val="center"/>
              <w:rPr>
                <w:color w:val="auto"/>
                <w:highlight w:val="none"/>
                <w:vertAlign w:val="baseline"/>
              </w:rPr>
            </w:pPr>
          </w:p>
        </w:tc>
      </w:tr>
      <w:tr w14:paraId="38D5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572" w:type="dxa"/>
            <w:gridSpan w:val="3"/>
            <w:noWrap w:val="0"/>
            <w:vAlign w:val="center"/>
          </w:tcPr>
          <w:p w14:paraId="4F720D42">
            <w:pPr>
              <w:jc w:val="center"/>
              <w:rPr>
                <w:color w:val="auto"/>
                <w:highlight w:val="none"/>
                <w:vertAlign w:val="baseline"/>
              </w:rPr>
            </w:pPr>
            <w:r>
              <w:rPr>
                <w:rFonts w:hint="eastAsia"/>
                <w:color w:val="auto"/>
                <w:highlight w:val="none"/>
                <w:vertAlign w:val="baseline"/>
                <w:lang w:val="en-US" w:eastAsia="zh-CN"/>
              </w:rPr>
              <w:t>是否为领导干部需回避的亲属</w:t>
            </w:r>
          </w:p>
        </w:tc>
        <w:tc>
          <w:tcPr>
            <w:tcW w:w="5285" w:type="dxa"/>
            <w:gridSpan w:val="3"/>
            <w:noWrap w:val="0"/>
            <w:vAlign w:val="center"/>
          </w:tcPr>
          <w:p w14:paraId="1AD38501">
            <w:pPr>
              <w:jc w:val="center"/>
              <w:rPr>
                <w:rFonts w:hint="eastAsia" w:eastAsia="宋体"/>
                <w:color w:val="auto"/>
                <w:highlight w:val="none"/>
                <w:vertAlign w:val="baseline"/>
                <w:lang w:val="en-US" w:eastAsia="zh-CN"/>
              </w:rPr>
            </w:pPr>
          </w:p>
        </w:tc>
      </w:tr>
      <w:tr w14:paraId="4FF6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18" w:type="dxa"/>
            <w:vMerge w:val="restart"/>
            <w:noWrap w:val="0"/>
            <w:vAlign w:val="center"/>
          </w:tcPr>
          <w:p w14:paraId="065ABB26">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亲属关系情况说明</w:t>
            </w:r>
          </w:p>
        </w:tc>
        <w:tc>
          <w:tcPr>
            <w:tcW w:w="1129" w:type="dxa"/>
            <w:noWrap w:val="0"/>
            <w:vAlign w:val="center"/>
          </w:tcPr>
          <w:p w14:paraId="65EED0F7">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称谓</w:t>
            </w:r>
          </w:p>
        </w:tc>
        <w:tc>
          <w:tcPr>
            <w:tcW w:w="1325" w:type="dxa"/>
            <w:noWrap w:val="0"/>
            <w:vAlign w:val="center"/>
          </w:tcPr>
          <w:p w14:paraId="0EC7AFC0">
            <w:pPr>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姓名</w:t>
            </w:r>
          </w:p>
        </w:tc>
        <w:tc>
          <w:tcPr>
            <w:tcW w:w="1102" w:type="dxa"/>
            <w:noWrap w:val="0"/>
            <w:vAlign w:val="center"/>
          </w:tcPr>
          <w:p w14:paraId="75B6CB3F">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出生日期</w:t>
            </w:r>
          </w:p>
        </w:tc>
        <w:tc>
          <w:tcPr>
            <w:tcW w:w="1173" w:type="dxa"/>
            <w:noWrap w:val="0"/>
            <w:vAlign w:val="center"/>
          </w:tcPr>
          <w:p w14:paraId="233062B3">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政治面貌</w:t>
            </w:r>
          </w:p>
        </w:tc>
        <w:tc>
          <w:tcPr>
            <w:tcW w:w="3010" w:type="dxa"/>
            <w:noWrap w:val="0"/>
            <w:vAlign w:val="center"/>
          </w:tcPr>
          <w:p w14:paraId="299ACECE">
            <w:pPr>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工作单位及职务</w:t>
            </w:r>
          </w:p>
        </w:tc>
      </w:tr>
      <w:tr w14:paraId="2299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8" w:type="dxa"/>
            <w:vMerge w:val="continue"/>
            <w:noWrap w:val="0"/>
            <w:vAlign w:val="top"/>
          </w:tcPr>
          <w:p w14:paraId="55DC5B0C">
            <w:pPr>
              <w:rPr>
                <w:color w:val="auto"/>
                <w:highlight w:val="none"/>
                <w:vertAlign w:val="baseline"/>
              </w:rPr>
            </w:pPr>
          </w:p>
        </w:tc>
        <w:tc>
          <w:tcPr>
            <w:tcW w:w="1129" w:type="dxa"/>
            <w:noWrap w:val="0"/>
            <w:vAlign w:val="top"/>
          </w:tcPr>
          <w:p w14:paraId="423E10EE">
            <w:pPr>
              <w:rPr>
                <w:color w:val="auto"/>
                <w:highlight w:val="none"/>
                <w:vertAlign w:val="baseline"/>
              </w:rPr>
            </w:pPr>
          </w:p>
        </w:tc>
        <w:tc>
          <w:tcPr>
            <w:tcW w:w="1325" w:type="dxa"/>
            <w:noWrap w:val="0"/>
            <w:vAlign w:val="top"/>
          </w:tcPr>
          <w:p w14:paraId="59D7C92F">
            <w:pPr>
              <w:rPr>
                <w:color w:val="auto"/>
                <w:highlight w:val="none"/>
                <w:vertAlign w:val="baseline"/>
              </w:rPr>
            </w:pPr>
          </w:p>
        </w:tc>
        <w:tc>
          <w:tcPr>
            <w:tcW w:w="1102" w:type="dxa"/>
            <w:noWrap w:val="0"/>
            <w:vAlign w:val="top"/>
          </w:tcPr>
          <w:p w14:paraId="32FE1238">
            <w:pPr>
              <w:rPr>
                <w:color w:val="auto"/>
                <w:highlight w:val="none"/>
                <w:vertAlign w:val="baseline"/>
              </w:rPr>
            </w:pPr>
          </w:p>
        </w:tc>
        <w:tc>
          <w:tcPr>
            <w:tcW w:w="1173" w:type="dxa"/>
            <w:noWrap w:val="0"/>
            <w:vAlign w:val="top"/>
          </w:tcPr>
          <w:p w14:paraId="0C633102">
            <w:pPr>
              <w:rPr>
                <w:color w:val="auto"/>
                <w:highlight w:val="none"/>
                <w:vertAlign w:val="baseline"/>
              </w:rPr>
            </w:pPr>
          </w:p>
        </w:tc>
        <w:tc>
          <w:tcPr>
            <w:tcW w:w="3010" w:type="dxa"/>
            <w:noWrap w:val="0"/>
            <w:vAlign w:val="top"/>
          </w:tcPr>
          <w:p w14:paraId="0F485191">
            <w:pPr>
              <w:rPr>
                <w:color w:val="auto"/>
                <w:highlight w:val="none"/>
                <w:vertAlign w:val="baseline"/>
              </w:rPr>
            </w:pPr>
          </w:p>
        </w:tc>
      </w:tr>
      <w:tr w14:paraId="156C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8" w:type="dxa"/>
            <w:vMerge w:val="continue"/>
            <w:noWrap w:val="0"/>
            <w:vAlign w:val="top"/>
          </w:tcPr>
          <w:p w14:paraId="410CD567">
            <w:pPr>
              <w:rPr>
                <w:color w:val="auto"/>
                <w:highlight w:val="none"/>
                <w:vertAlign w:val="baseline"/>
              </w:rPr>
            </w:pPr>
          </w:p>
        </w:tc>
        <w:tc>
          <w:tcPr>
            <w:tcW w:w="1129" w:type="dxa"/>
            <w:noWrap w:val="0"/>
            <w:vAlign w:val="top"/>
          </w:tcPr>
          <w:p w14:paraId="2967D2CD">
            <w:pPr>
              <w:rPr>
                <w:color w:val="auto"/>
                <w:highlight w:val="none"/>
                <w:vertAlign w:val="baseline"/>
              </w:rPr>
            </w:pPr>
          </w:p>
        </w:tc>
        <w:tc>
          <w:tcPr>
            <w:tcW w:w="1325" w:type="dxa"/>
            <w:noWrap w:val="0"/>
            <w:vAlign w:val="top"/>
          </w:tcPr>
          <w:p w14:paraId="553E5A7E">
            <w:pPr>
              <w:rPr>
                <w:color w:val="auto"/>
                <w:highlight w:val="none"/>
                <w:vertAlign w:val="baseline"/>
              </w:rPr>
            </w:pPr>
          </w:p>
        </w:tc>
        <w:tc>
          <w:tcPr>
            <w:tcW w:w="1102" w:type="dxa"/>
            <w:noWrap w:val="0"/>
            <w:vAlign w:val="top"/>
          </w:tcPr>
          <w:p w14:paraId="21CAE4CD">
            <w:pPr>
              <w:rPr>
                <w:color w:val="auto"/>
                <w:highlight w:val="none"/>
                <w:vertAlign w:val="baseline"/>
              </w:rPr>
            </w:pPr>
          </w:p>
        </w:tc>
        <w:tc>
          <w:tcPr>
            <w:tcW w:w="1173" w:type="dxa"/>
            <w:noWrap w:val="0"/>
            <w:vAlign w:val="top"/>
          </w:tcPr>
          <w:p w14:paraId="2ECD7849">
            <w:pPr>
              <w:rPr>
                <w:color w:val="auto"/>
                <w:highlight w:val="none"/>
                <w:vertAlign w:val="baseline"/>
              </w:rPr>
            </w:pPr>
          </w:p>
        </w:tc>
        <w:tc>
          <w:tcPr>
            <w:tcW w:w="3010" w:type="dxa"/>
            <w:noWrap w:val="0"/>
            <w:vAlign w:val="top"/>
          </w:tcPr>
          <w:p w14:paraId="4AE63E21">
            <w:pPr>
              <w:rPr>
                <w:color w:val="auto"/>
                <w:highlight w:val="none"/>
                <w:vertAlign w:val="baseline"/>
              </w:rPr>
            </w:pPr>
          </w:p>
        </w:tc>
      </w:tr>
      <w:tr w14:paraId="0BA5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8" w:type="dxa"/>
            <w:vMerge w:val="continue"/>
            <w:noWrap w:val="0"/>
            <w:vAlign w:val="top"/>
          </w:tcPr>
          <w:p w14:paraId="51A807BD">
            <w:pPr>
              <w:rPr>
                <w:color w:val="auto"/>
                <w:highlight w:val="none"/>
                <w:vertAlign w:val="baseline"/>
              </w:rPr>
            </w:pPr>
          </w:p>
        </w:tc>
        <w:tc>
          <w:tcPr>
            <w:tcW w:w="1129" w:type="dxa"/>
            <w:noWrap w:val="0"/>
            <w:vAlign w:val="top"/>
          </w:tcPr>
          <w:p w14:paraId="48515D61">
            <w:pPr>
              <w:rPr>
                <w:color w:val="auto"/>
                <w:highlight w:val="none"/>
                <w:vertAlign w:val="baseline"/>
              </w:rPr>
            </w:pPr>
          </w:p>
        </w:tc>
        <w:tc>
          <w:tcPr>
            <w:tcW w:w="1325" w:type="dxa"/>
            <w:noWrap w:val="0"/>
            <w:vAlign w:val="top"/>
          </w:tcPr>
          <w:p w14:paraId="7291E2E9">
            <w:pPr>
              <w:rPr>
                <w:color w:val="auto"/>
                <w:highlight w:val="none"/>
                <w:vertAlign w:val="baseline"/>
              </w:rPr>
            </w:pPr>
          </w:p>
        </w:tc>
        <w:tc>
          <w:tcPr>
            <w:tcW w:w="1102" w:type="dxa"/>
            <w:noWrap w:val="0"/>
            <w:vAlign w:val="top"/>
          </w:tcPr>
          <w:p w14:paraId="363A62A1">
            <w:pPr>
              <w:rPr>
                <w:color w:val="auto"/>
                <w:highlight w:val="none"/>
                <w:vertAlign w:val="baseline"/>
              </w:rPr>
            </w:pPr>
          </w:p>
        </w:tc>
        <w:tc>
          <w:tcPr>
            <w:tcW w:w="1173" w:type="dxa"/>
            <w:noWrap w:val="0"/>
            <w:vAlign w:val="top"/>
          </w:tcPr>
          <w:p w14:paraId="2CFEE74E">
            <w:pPr>
              <w:rPr>
                <w:color w:val="auto"/>
                <w:highlight w:val="none"/>
                <w:vertAlign w:val="baseline"/>
              </w:rPr>
            </w:pPr>
          </w:p>
        </w:tc>
        <w:tc>
          <w:tcPr>
            <w:tcW w:w="3010" w:type="dxa"/>
            <w:noWrap w:val="0"/>
            <w:vAlign w:val="top"/>
          </w:tcPr>
          <w:p w14:paraId="523DF9AA">
            <w:pPr>
              <w:rPr>
                <w:color w:val="auto"/>
                <w:highlight w:val="none"/>
                <w:vertAlign w:val="baseline"/>
              </w:rPr>
            </w:pPr>
          </w:p>
        </w:tc>
      </w:tr>
      <w:tr w14:paraId="0B85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8" w:type="dxa"/>
            <w:vMerge w:val="continue"/>
            <w:noWrap w:val="0"/>
            <w:vAlign w:val="top"/>
          </w:tcPr>
          <w:p w14:paraId="52CD48D4">
            <w:pPr>
              <w:rPr>
                <w:color w:val="auto"/>
                <w:highlight w:val="none"/>
                <w:vertAlign w:val="baseline"/>
              </w:rPr>
            </w:pPr>
          </w:p>
        </w:tc>
        <w:tc>
          <w:tcPr>
            <w:tcW w:w="1129" w:type="dxa"/>
            <w:noWrap w:val="0"/>
            <w:vAlign w:val="top"/>
          </w:tcPr>
          <w:p w14:paraId="0BBC031B">
            <w:pPr>
              <w:rPr>
                <w:color w:val="auto"/>
                <w:highlight w:val="none"/>
                <w:vertAlign w:val="baseline"/>
              </w:rPr>
            </w:pPr>
          </w:p>
        </w:tc>
        <w:tc>
          <w:tcPr>
            <w:tcW w:w="1325" w:type="dxa"/>
            <w:noWrap w:val="0"/>
            <w:vAlign w:val="top"/>
          </w:tcPr>
          <w:p w14:paraId="397F26EF">
            <w:pPr>
              <w:rPr>
                <w:color w:val="auto"/>
                <w:highlight w:val="none"/>
                <w:vertAlign w:val="baseline"/>
              </w:rPr>
            </w:pPr>
          </w:p>
        </w:tc>
        <w:tc>
          <w:tcPr>
            <w:tcW w:w="1102" w:type="dxa"/>
            <w:noWrap w:val="0"/>
            <w:vAlign w:val="top"/>
          </w:tcPr>
          <w:p w14:paraId="029418C9">
            <w:pPr>
              <w:rPr>
                <w:color w:val="auto"/>
                <w:highlight w:val="none"/>
                <w:vertAlign w:val="baseline"/>
              </w:rPr>
            </w:pPr>
          </w:p>
        </w:tc>
        <w:tc>
          <w:tcPr>
            <w:tcW w:w="1173" w:type="dxa"/>
            <w:noWrap w:val="0"/>
            <w:vAlign w:val="top"/>
          </w:tcPr>
          <w:p w14:paraId="60E36208">
            <w:pPr>
              <w:rPr>
                <w:color w:val="auto"/>
                <w:highlight w:val="none"/>
                <w:vertAlign w:val="baseline"/>
              </w:rPr>
            </w:pPr>
          </w:p>
        </w:tc>
        <w:tc>
          <w:tcPr>
            <w:tcW w:w="3010" w:type="dxa"/>
            <w:noWrap w:val="0"/>
            <w:vAlign w:val="top"/>
          </w:tcPr>
          <w:p w14:paraId="1E39854C">
            <w:pPr>
              <w:rPr>
                <w:color w:val="auto"/>
                <w:highlight w:val="none"/>
                <w:vertAlign w:val="baseline"/>
              </w:rPr>
            </w:pPr>
          </w:p>
        </w:tc>
      </w:tr>
      <w:tr w14:paraId="3195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8" w:type="dxa"/>
            <w:vMerge w:val="continue"/>
            <w:noWrap w:val="0"/>
            <w:vAlign w:val="top"/>
          </w:tcPr>
          <w:p w14:paraId="5C20EDC6">
            <w:pPr>
              <w:rPr>
                <w:color w:val="auto"/>
                <w:highlight w:val="none"/>
                <w:vertAlign w:val="baseline"/>
              </w:rPr>
            </w:pPr>
          </w:p>
        </w:tc>
        <w:tc>
          <w:tcPr>
            <w:tcW w:w="1129" w:type="dxa"/>
            <w:noWrap w:val="0"/>
            <w:vAlign w:val="top"/>
          </w:tcPr>
          <w:p w14:paraId="74F45189">
            <w:pPr>
              <w:rPr>
                <w:color w:val="auto"/>
                <w:highlight w:val="none"/>
                <w:vertAlign w:val="baseline"/>
              </w:rPr>
            </w:pPr>
          </w:p>
        </w:tc>
        <w:tc>
          <w:tcPr>
            <w:tcW w:w="1325" w:type="dxa"/>
            <w:noWrap w:val="0"/>
            <w:vAlign w:val="top"/>
          </w:tcPr>
          <w:p w14:paraId="42E66B79">
            <w:pPr>
              <w:rPr>
                <w:color w:val="auto"/>
                <w:highlight w:val="none"/>
                <w:vertAlign w:val="baseline"/>
              </w:rPr>
            </w:pPr>
          </w:p>
        </w:tc>
        <w:tc>
          <w:tcPr>
            <w:tcW w:w="1102" w:type="dxa"/>
            <w:noWrap w:val="0"/>
            <w:vAlign w:val="top"/>
          </w:tcPr>
          <w:p w14:paraId="63FB59FC">
            <w:pPr>
              <w:rPr>
                <w:color w:val="auto"/>
                <w:highlight w:val="none"/>
                <w:vertAlign w:val="baseline"/>
              </w:rPr>
            </w:pPr>
          </w:p>
        </w:tc>
        <w:tc>
          <w:tcPr>
            <w:tcW w:w="1173" w:type="dxa"/>
            <w:noWrap w:val="0"/>
            <w:vAlign w:val="top"/>
          </w:tcPr>
          <w:p w14:paraId="4EDD75FE">
            <w:pPr>
              <w:rPr>
                <w:color w:val="auto"/>
                <w:highlight w:val="none"/>
                <w:vertAlign w:val="baseline"/>
              </w:rPr>
            </w:pPr>
          </w:p>
        </w:tc>
        <w:tc>
          <w:tcPr>
            <w:tcW w:w="3010" w:type="dxa"/>
            <w:noWrap w:val="0"/>
            <w:vAlign w:val="top"/>
          </w:tcPr>
          <w:p w14:paraId="1601F6FF">
            <w:pPr>
              <w:rPr>
                <w:color w:val="auto"/>
                <w:highlight w:val="none"/>
                <w:vertAlign w:val="baseline"/>
              </w:rPr>
            </w:pPr>
          </w:p>
        </w:tc>
      </w:tr>
      <w:tr w14:paraId="3E7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8" w:type="dxa"/>
            <w:vMerge w:val="continue"/>
            <w:noWrap w:val="0"/>
            <w:vAlign w:val="top"/>
          </w:tcPr>
          <w:p w14:paraId="443F9A55">
            <w:pPr>
              <w:rPr>
                <w:color w:val="auto"/>
                <w:highlight w:val="none"/>
                <w:vertAlign w:val="baseline"/>
              </w:rPr>
            </w:pPr>
          </w:p>
        </w:tc>
        <w:tc>
          <w:tcPr>
            <w:tcW w:w="1129" w:type="dxa"/>
            <w:noWrap w:val="0"/>
            <w:vAlign w:val="top"/>
          </w:tcPr>
          <w:p w14:paraId="4CB8FD1E">
            <w:pPr>
              <w:rPr>
                <w:color w:val="auto"/>
                <w:highlight w:val="none"/>
                <w:vertAlign w:val="baseline"/>
              </w:rPr>
            </w:pPr>
          </w:p>
        </w:tc>
        <w:tc>
          <w:tcPr>
            <w:tcW w:w="1325" w:type="dxa"/>
            <w:noWrap w:val="0"/>
            <w:vAlign w:val="top"/>
          </w:tcPr>
          <w:p w14:paraId="6192493B">
            <w:pPr>
              <w:rPr>
                <w:color w:val="auto"/>
                <w:highlight w:val="none"/>
                <w:vertAlign w:val="baseline"/>
              </w:rPr>
            </w:pPr>
          </w:p>
        </w:tc>
        <w:tc>
          <w:tcPr>
            <w:tcW w:w="1102" w:type="dxa"/>
            <w:noWrap w:val="0"/>
            <w:vAlign w:val="top"/>
          </w:tcPr>
          <w:p w14:paraId="3DF0BD98">
            <w:pPr>
              <w:rPr>
                <w:color w:val="auto"/>
                <w:highlight w:val="none"/>
                <w:vertAlign w:val="baseline"/>
              </w:rPr>
            </w:pPr>
          </w:p>
        </w:tc>
        <w:tc>
          <w:tcPr>
            <w:tcW w:w="1173" w:type="dxa"/>
            <w:noWrap w:val="0"/>
            <w:vAlign w:val="top"/>
          </w:tcPr>
          <w:p w14:paraId="6886DBC7">
            <w:pPr>
              <w:rPr>
                <w:color w:val="auto"/>
                <w:highlight w:val="none"/>
                <w:vertAlign w:val="baseline"/>
              </w:rPr>
            </w:pPr>
          </w:p>
        </w:tc>
        <w:tc>
          <w:tcPr>
            <w:tcW w:w="3010" w:type="dxa"/>
            <w:noWrap w:val="0"/>
            <w:vAlign w:val="top"/>
          </w:tcPr>
          <w:p w14:paraId="27BADAE8">
            <w:pPr>
              <w:rPr>
                <w:color w:val="auto"/>
                <w:highlight w:val="none"/>
                <w:vertAlign w:val="baseline"/>
              </w:rPr>
            </w:pPr>
          </w:p>
        </w:tc>
      </w:tr>
      <w:tr w14:paraId="13C3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18" w:type="dxa"/>
            <w:vMerge w:val="continue"/>
            <w:noWrap w:val="0"/>
            <w:vAlign w:val="top"/>
          </w:tcPr>
          <w:p w14:paraId="318E3297">
            <w:pPr>
              <w:rPr>
                <w:color w:val="auto"/>
                <w:highlight w:val="none"/>
                <w:vertAlign w:val="baseline"/>
              </w:rPr>
            </w:pPr>
          </w:p>
        </w:tc>
        <w:tc>
          <w:tcPr>
            <w:tcW w:w="1129" w:type="dxa"/>
            <w:noWrap w:val="0"/>
            <w:vAlign w:val="top"/>
          </w:tcPr>
          <w:p w14:paraId="1B9471A5">
            <w:pPr>
              <w:rPr>
                <w:color w:val="auto"/>
                <w:highlight w:val="none"/>
                <w:vertAlign w:val="baseline"/>
              </w:rPr>
            </w:pPr>
          </w:p>
        </w:tc>
        <w:tc>
          <w:tcPr>
            <w:tcW w:w="1325" w:type="dxa"/>
            <w:noWrap w:val="0"/>
            <w:vAlign w:val="top"/>
          </w:tcPr>
          <w:p w14:paraId="6CBFCF84">
            <w:pPr>
              <w:rPr>
                <w:color w:val="auto"/>
                <w:highlight w:val="none"/>
                <w:vertAlign w:val="baseline"/>
              </w:rPr>
            </w:pPr>
          </w:p>
        </w:tc>
        <w:tc>
          <w:tcPr>
            <w:tcW w:w="1102" w:type="dxa"/>
            <w:noWrap w:val="0"/>
            <w:vAlign w:val="top"/>
          </w:tcPr>
          <w:p w14:paraId="6FC4EFDF">
            <w:pPr>
              <w:rPr>
                <w:color w:val="auto"/>
                <w:highlight w:val="none"/>
                <w:vertAlign w:val="baseline"/>
              </w:rPr>
            </w:pPr>
          </w:p>
        </w:tc>
        <w:tc>
          <w:tcPr>
            <w:tcW w:w="1173" w:type="dxa"/>
            <w:noWrap w:val="0"/>
            <w:vAlign w:val="top"/>
          </w:tcPr>
          <w:p w14:paraId="267DEAAD">
            <w:pPr>
              <w:rPr>
                <w:color w:val="auto"/>
                <w:highlight w:val="none"/>
                <w:vertAlign w:val="baseline"/>
              </w:rPr>
            </w:pPr>
          </w:p>
        </w:tc>
        <w:tc>
          <w:tcPr>
            <w:tcW w:w="3010" w:type="dxa"/>
            <w:noWrap w:val="0"/>
            <w:vAlign w:val="top"/>
          </w:tcPr>
          <w:p w14:paraId="0105C6D2">
            <w:pPr>
              <w:rPr>
                <w:color w:val="auto"/>
                <w:highlight w:val="none"/>
                <w:vertAlign w:val="baseline"/>
              </w:rPr>
            </w:pPr>
          </w:p>
        </w:tc>
      </w:tr>
      <w:tr w14:paraId="42D4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18" w:type="dxa"/>
            <w:vMerge w:val="continue"/>
            <w:noWrap w:val="0"/>
            <w:vAlign w:val="top"/>
          </w:tcPr>
          <w:p w14:paraId="15BD8D7C">
            <w:pPr>
              <w:rPr>
                <w:color w:val="auto"/>
                <w:highlight w:val="none"/>
                <w:vertAlign w:val="baseline"/>
              </w:rPr>
            </w:pPr>
          </w:p>
        </w:tc>
        <w:tc>
          <w:tcPr>
            <w:tcW w:w="1129" w:type="dxa"/>
            <w:noWrap w:val="0"/>
            <w:vAlign w:val="top"/>
          </w:tcPr>
          <w:p w14:paraId="5D9C974A">
            <w:pPr>
              <w:rPr>
                <w:color w:val="auto"/>
                <w:highlight w:val="none"/>
                <w:vertAlign w:val="baseline"/>
              </w:rPr>
            </w:pPr>
          </w:p>
        </w:tc>
        <w:tc>
          <w:tcPr>
            <w:tcW w:w="1325" w:type="dxa"/>
            <w:noWrap w:val="0"/>
            <w:vAlign w:val="top"/>
          </w:tcPr>
          <w:p w14:paraId="059B6F06">
            <w:pPr>
              <w:rPr>
                <w:color w:val="auto"/>
                <w:highlight w:val="none"/>
                <w:vertAlign w:val="baseline"/>
              </w:rPr>
            </w:pPr>
          </w:p>
        </w:tc>
        <w:tc>
          <w:tcPr>
            <w:tcW w:w="1102" w:type="dxa"/>
            <w:noWrap w:val="0"/>
            <w:vAlign w:val="top"/>
          </w:tcPr>
          <w:p w14:paraId="7937B397">
            <w:pPr>
              <w:rPr>
                <w:color w:val="auto"/>
                <w:highlight w:val="none"/>
                <w:vertAlign w:val="baseline"/>
              </w:rPr>
            </w:pPr>
          </w:p>
        </w:tc>
        <w:tc>
          <w:tcPr>
            <w:tcW w:w="1173" w:type="dxa"/>
            <w:noWrap w:val="0"/>
            <w:vAlign w:val="top"/>
          </w:tcPr>
          <w:p w14:paraId="0A239C9C">
            <w:pPr>
              <w:rPr>
                <w:color w:val="auto"/>
                <w:highlight w:val="none"/>
                <w:vertAlign w:val="baseline"/>
              </w:rPr>
            </w:pPr>
          </w:p>
        </w:tc>
        <w:tc>
          <w:tcPr>
            <w:tcW w:w="3010" w:type="dxa"/>
            <w:noWrap w:val="0"/>
            <w:vAlign w:val="top"/>
          </w:tcPr>
          <w:p w14:paraId="6126D526">
            <w:pPr>
              <w:rPr>
                <w:color w:val="auto"/>
                <w:highlight w:val="none"/>
                <w:vertAlign w:val="baseline"/>
              </w:rPr>
            </w:pPr>
          </w:p>
        </w:tc>
      </w:tr>
      <w:tr w14:paraId="102D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18" w:type="dxa"/>
            <w:vMerge w:val="continue"/>
            <w:noWrap w:val="0"/>
            <w:vAlign w:val="top"/>
          </w:tcPr>
          <w:p w14:paraId="068D8AAE">
            <w:pPr>
              <w:rPr>
                <w:color w:val="auto"/>
                <w:highlight w:val="none"/>
                <w:vertAlign w:val="baseline"/>
              </w:rPr>
            </w:pPr>
          </w:p>
        </w:tc>
        <w:tc>
          <w:tcPr>
            <w:tcW w:w="1129" w:type="dxa"/>
            <w:noWrap w:val="0"/>
            <w:vAlign w:val="top"/>
          </w:tcPr>
          <w:p w14:paraId="5C0C7774">
            <w:pPr>
              <w:rPr>
                <w:color w:val="auto"/>
                <w:highlight w:val="none"/>
                <w:vertAlign w:val="baseline"/>
              </w:rPr>
            </w:pPr>
          </w:p>
        </w:tc>
        <w:tc>
          <w:tcPr>
            <w:tcW w:w="1325" w:type="dxa"/>
            <w:noWrap w:val="0"/>
            <w:vAlign w:val="top"/>
          </w:tcPr>
          <w:p w14:paraId="1A57E754">
            <w:pPr>
              <w:rPr>
                <w:color w:val="auto"/>
                <w:highlight w:val="none"/>
                <w:vertAlign w:val="baseline"/>
              </w:rPr>
            </w:pPr>
          </w:p>
        </w:tc>
        <w:tc>
          <w:tcPr>
            <w:tcW w:w="1102" w:type="dxa"/>
            <w:noWrap w:val="0"/>
            <w:vAlign w:val="top"/>
          </w:tcPr>
          <w:p w14:paraId="55FE5888">
            <w:pPr>
              <w:rPr>
                <w:color w:val="auto"/>
                <w:highlight w:val="none"/>
                <w:vertAlign w:val="baseline"/>
              </w:rPr>
            </w:pPr>
          </w:p>
        </w:tc>
        <w:tc>
          <w:tcPr>
            <w:tcW w:w="1173" w:type="dxa"/>
            <w:noWrap w:val="0"/>
            <w:vAlign w:val="top"/>
          </w:tcPr>
          <w:p w14:paraId="154A0781">
            <w:pPr>
              <w:rPr>
                <w:color w:val="auto"/>
                <w:highlight w:val="none"/>
                <w:vertAlign w:val="baseline"/>
              </w:rPr>
            </w:pPr>
          </w:p>
        </w:tc>
        <w:tc>
          <w:tcPr>
            <w:tcW w:w="3010" w:type="dxa"/>
            <w:noWrap w:val="0"/>
            <w:vAlign w:val="top"/>
          </w:tcPr>
          <w:p w14:paraId="18AFB424">
            <w:pPr>
              <w:rPr>
                <w:color w:val="auto"/>
                <w:highlight w:val="none"/>
                <w:vertAlign w:val="baseline"/>
              </w:rPr>
            </w:pPr>
          </w:p>
        </w:tc>
      </w:tr>
    </w:tbl>
    <w:p w14:paraId="6B34B3F3">
      <w:pPr>
        <w:rPr>
          <w:color w:val="auto"/>
          <w:highlight w:val="none"/>
        </w:rPr>
      </w:pPr>
    </w:p>
    <w:p w14:paraId="6A09AFC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.如有须回避的亲属为九江市</w:t>
      </w:r>
      <w:r>
        <w:rPr>
          <w:rFonts w:hint="eastAsia" w:ascii="仿宋_GB2312" w:hAnsi="仿宋_GB2312" w:eastAsia="仿宋_GB2312" w:cs="仿宋_GB2312"/>
          <w:color w:val="auto"/>
          <w:sz w:val="28"/>
          <w:szCs w:val="28"/>
          <w:highlight w:val="none"/>
          <w:lang w:val="en-US" w:eastAsia="zh-CN"/>
        </w:rPr>
        <w:t>国有投资控股集团的中层及以上领导干部为本单位内设机构和下属单位负责人及以上领导干部</w:t>
      </w:r>
      <w:r>
        <w:rPr>
          <w:rFonts w:hint="eastAsia" w:ascii="仿宋_GB2312" w:hAnsi="仿宋_GB2312" w:eastAsia="仿宋_GB2312" w:cs="仿宋_GB2312"/>
          <w:color w:val="auto"/>
          <w:sz w:val="28"/>
          <w:szCs w:val="28"/>
          <w:highlight w:val="none"/>
        </w:rPr>
        <w:t>必须在上表中如实填报。</w:t>
      </w:r>
    </w:p>
    <w:p w14:paraId="1B6B75A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2.须回避的亲属关系的范围为: 近亲属包含夫妻关系、直系血亲关系、三代以内旁系血亲关系及近姻亲关系。</w:t>
      </w:r>
      <w:bookmarkStart w:id="0" w:name="_GoBack"/>
      <w:bookmarkEnd w:id="0"/>
      <w:r>
        <w:rPr>
          <w:rFonts w:hint="eastAsia" w:ascii="仿宋_GB2312" w:hAnsi="仿宋_GB2312" w:eastAsia="仿宋_GB2312" w:cs="仿宋_GB2312"/>
          <w:color w:val="auto"/>
          <w:sz w:val="28"/>
          <w:szCs w:val="28"/>
          <w:highlight w:val="none"/>
          <w:lang w:val="en-US" w:eastAsia="zh-CN"/>
        </w:rPr>
        <w:t>其中，直系血亲关系包括祖父母、外祖父母、父母、子女、孙子女、外孙子女(含:本来无血缘关系，但由法律确认其具有与自然血亲同等的权利义务的亲属，如养父母与养子女、继父母与继子女 ); 三代以内旁系血亲包括伯叔姑舅姨、兄弟姐妹、堂兄弟姐妹、表兄弟姐妹、侄子女、甥子女;近姻亲关系包括:配偶的父母、配偶的兄弟姐妹及其配偶、子女的配偶及子女配偶的父母、三代以内旁系血亲的配偶。</w:t>
      </w:r>
    </w:p>
    <w:p w14:paraId="61160950"/>
    <w:sectPr>
      <w:pgSz w:w="11906" w:h="16838"/>
      <w:pgMar w:top="1440" w:right="1576" w:bottom="1440" w:left="1576"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9DD8D94E-C1E7-4A24-AFF1-A427BEB99BC6}"/>
  </w:font>
  <w:font w:name="方正小标宋简体">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22F0A985-BEB9-4629-851A-E9108D4212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OWQzZmExZGE4MzExM2JmYzFlMTYxY2UyNjAyMGMifQ=="/>
  </w:docVars>
  <w:rsids>
    <w:rsidRoot w:val="419E7C49"/>
    <w:rsid w:val="120008B6"/>
    <w:rsid w:val="19DA533F"/>
    <w:rsid w:val="2EAF1BAD"/>
    <w:rsid w:val="354409EC"/>
    <w:rsid w:val="3BAE76A2"/>
    <w:rsid w:val="419E7C49"/>
    <w:rsid w:val="482B25A0"/>
    <w:rsid w:val="4AF51B9E"/>
    <w:rsid w:val="4D4F17B0"/>
    <w:rsid w:val="4F19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napToGrid w:val="0"/>
      <w:spacing w:after="0" w:line="300" w:lineRule="auto"/>
      <w:ind w:firstLine="540"/>
      <w:jc w:val="both"/>
    </w:pPr>
    <w:rPr>
      <w:rFonts w:ascii="仿宋_GB2312" w:hAnsi="Calibri" w:eastAsia="仿宋_GB2312" w:cs="Times New Roman"/>
      <w:kern w:val="0"/>
      <w:sz w:val="21"/>
      <w:szCs w:val="2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Words>
  <Characters>357</Characters>
  <Lines>0</Lines>
  <Paragraphs>0</Paragraphs>
  <TotalTime>36</TotalTime>
  <ScaleCrop>false</ScaleCrop>
  <LinksUpToDate>false</LinksUpToDate>
  <CharactersWithSpaces>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2024-05-10T08:50:00Z</dcterms:created>
  <dc:creator>陈欣</dc:creator>
  <cp:lastModifiedBy>颖儿</cp:lastModifiedBy>
  <cp:lastPrinted>2025-10-31T10:02:40Z</cp:lastPrinted>
  <dcterms:modified xsi:type="dcterms:W3CDTF">2025-10-31T10:49:53Z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E9DF847A855141A3A48134BB041C8F86_13</vt:lpwstr>
  </property>
  <property fmtid="{D5CDD505-2E9C-101B-9397-08002B2CF9AE}" pid="4" name="KSOTemplateDocerSaveRecord">
    <vt:lpwstr>eyJoZGlkIjoiOGNiNzY1YTA1YmViZWIxZTljYmJjYzU2Y2M4MDRmYWEiLCJ1c2VySWQiOiIyMzM0OTI0MjYifQ==</vt:lpwstr>
  </property>
</Properties>
</file>