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072"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8"/>
        <w:gridCol w:w="758"/>
        <w:gridCol w:w="685"/>
        <w:gridCol w:w="6789"/>
        <w:gridCol w:w="3534"/>
        <w:gridCol w:w="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24" w:hRule="atLeast"/>
        </w:trPr>
        <w:tc>
          <w:tcPr>
            <w:tcW w:w="13072" w:type="dxa"/>
            <w:gridSpan w:val="6"/>
            <w:tcBorders>
              <w:top w:val="nil"/>
              <w:left w:val="nil"/>
              <w:bottom w:val="nil"/>
              <w:right w:val="nil"/>
              <w:tl2br w:val="nil"/>
              <w:tr2bl w:val="nil"/>
            </w:tcBorders>
            <w:shd w:val="clear" w:color="auto" w:fill="auto"/>
            <w:noWrap/>
            <w:vAlign w:val="center"/>
          </w:tcPr>
          <w:p>
            <w:pPr>
              <w:jc w:val="both"/>
              <w:rPr>
                <w:rFonts w:hint="default" w:ascii="Times New Roman" w:hAnsi="Times New Roman" w:eastAsia="方正小标宋简体" w:cs="Times New Roman"/>
                <w:i w:val="0"/>
                <w:iCs w:val="0"/>
                <w:color w:val="000000"/>
                <w:sz w:val="36"/>
                <w:szCs w:val="36"/>
                <w:u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24" w:hRule="atLeast"/>
        </w:trPr>
        <w:tc>
          <w:tcPr>
            <w:tcW w:w="13072" w:type="dxa"/>
            <w:gridSpan w:val="6"/>
            <w:tcBorders>
              <w:top w:val="nil"/>
              <w:left w:val="nil"/>
              <w:bottom w:val="nil"/>
              <w:right w:val="nil"/>
              <w:tl2br w:val="nil"/>
              <w:tr2bl w:val="nil"/>
            </w:tcBorders>
            <w:shd w:val="clear" w:color="auto" w:fill="auto"/>
            <w:noWrap/>
            <w:vAlign w:val="center"/>
          </w:tcPr>
          <w:p>
            <w:pPr>
              <w:jc w:val="center"/>
              <w:rPr>
                <w:rFonts w:hint="default" w:ascii="Times New Roman" w:hAnsi="Times New Roman" w:eastAsia="方正小标宋简体" w:cs="Times New Roman"/>
                <w:i w:val="0"/>
                <w:iCs w:val="0"/>
                <w:color w:val="000000"/>
                <w:kern w:val="0"/>
                <w:sz w:val="36"/>
                <w:szCs w:val="36"/>
                <w:u w:val="none"/>
                <w:lang w:val="en-US" w:eastAsia="zh-CN" w:bidi="ar"/>
              </w:rPr>
            </w:pPr>
            <w:r>
              <w:rPr>
                <w:rFonts w:hint="default" w:ascii="Times New Roman" w:hAnsi="Times New Roman" w:eastAsia="方正小标宋简体" w:cs="Times New Roman"/>
                <w:i w:val="0"/>
                <w:iCs w:val="0"/>
                <w:color w:val="000000"/>
                <w:kern w:val="0"/>
                <w:sz w:val="36"/>
                <w:szCs w:val="36"/>
                <w:u w:val="none"/>
                <w:lang w:val="en-US" w:eastAsia="zh-CN" w:bidi="ar"/>
              </w:rPr>
              <w:t>河北临空集团</w:t>
            </w:r>
            <w:r>
              <w:rPr>
                <w:rFonts w:hint="eastAsia" w:ascii="Times New Roman" w:hAnsi="Times New Roman" w:eastAsia="方正小标宋简体" w:cs="Times New Roman"/>
                <w:i w:val="0"/>
                <w:iCs w:val="0"/>
                <w:color w:val="000000"/>
                <w:kern w:val="0"/>
                <w:sz w:val="36"/>
                <w:szCs w:val="36"/>
                <w:u w:val="none"/>
                <w:lang w:val="en-US" w:eastAsia="zh-CN" w:bidi="ar"/>
              </w:rPr>
              <w:t>公开</w:t>
            </w:r>
            <w:r>
              <w:rPr>
                <w:rFonts w:hint="default" w:ascii="Times New Roman" w:hAnsi="Times New Roman" w:eastAsia="方正小标宋简体" w:cs="Times New Roman"/>
                <w:i w:val="0"/>
                <w:iCs w:val="0"/>
                <w:color w:val="000000"/>
                <w:kern w:val="0"/>
                <w:sz w:val="36"/>
                <w:szCs w:val="36"/>
                <w:u w:val="none"/>
                <w:lang w:val="en-US" w:eastAsia="zh-CN" w:bidi="ar"/>
              </w:rPr>
              <w:t>招聘岗位职责及任职</w:t>
            </w:r>
            <w:r>
              <w:rPr>
                <w:rFonts w:hint="eastAsia" w:ascii="Times New Roman" w:hAnsi="Times New Roman" w:eastAsia="方正小标宋简体" w:cs="Times New Roman"/>
                <w:i w:val="0"/>
                <w:iCs w:val="0"/>
                <w:color w:val="000000"/>
                <w:kern w:val="0"/>
                <w:sz w:val="36"/>
                <w:szCs w:val="36"/>
                <w:u w:val="none"/>
                <w:lang w:val="en-US" w:eastAsia="zh-CN" w:bidi="ar"/>
              </w:rPr>
              <w:t>资格</w:t>
            </w:r>
            <w:r>
              <w:rPr>
                <w:rFonts w:hint="default" w:ascii="Times New Roman" w:hAnsi="Times New Roman" w:eastAsia="方正小标宋简体" w:cs="Times New Roman"/>
                <w:i w:val="0"/>
                <w:iCs w:val="0"/>
                <w:color w:val="000000"/>
                <w:kern w:val="0"/>
                <w:sz w:val="36"/>
                <w:szCs w:val="36"/>
                <w:u w:val="none"/>
                <w:lang w:val="en-US" w:eastAsia="zh-CN" w:bidi="ar"/>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00" w:hRule="atLeast"/>
        </w:trPr>
        <w:tc>
          <w:tcPr>
            <w:tcW w:w="658" w:type="dxa"/>
            <w:tcBorders>
              <w:top w:val="nil"/>
              <w:left w:val="nil"/>
              <w:bottom w:val="single" w:color="auto" w:sz="4" w:space="0"/>
              <w:right w:val="nil"/>
              <w:tl2br w:val="nil"/>
              <w:tr2bl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758" w:type="dxa"/>
            <w:tcBorders>
              <w:top w:val="nil"/>
              <w:left w:val="nil"/>
              <w:bottom w:val="single" w:color="auto" w:sz="4" w:space="0"/>
              <w:right w:val="nil"/>
              <w:tl2br w:val="nil"/>
              <w:tr2bl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685" w:type="dxa"/>
            <w:tcBorders>
              <w:top w:val="nil"/>
              <w:left w:val="nil"/>
              <w:bottom w:val="single" w:color="auto" w:sz="4" w:space="0"/>
              <w:right w:val="nil"/>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789" w:type="dxa"/>
            <w:tcBorders>
              <w:top w:val="nil"/>
              <w:left w:val="nil"/>
              <w:bottom w:val="single" w:color="auto" w:sz="4" w:space="0"/>
              <w:right w:val="nil"/>
              <w:tl2br w:val="nil"/>
              <w:tr2bl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3534" w:type="dxa"/>
            <w:tcBorders>
              <w:top w:val="nil"/>
              <w:left w:val="nil"/>
              <w:bottom w:val="single" w:color="auto" w:sz="4" w:space="0"/>
              <w:right w:val="nil"/>
              <w:tl2br w:val="nil"/>
              <w:tr2bl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648" w:type="dxa"/>
            <w:tcBorders>
              <w:top w:val="nil"/>
              <w:left w:val="nil"/>
              <w:bottom w:val="single" w:color="auto" w:sz="4" w:space="0"/>
              <w:right w:val="nil"/>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60" w:hRule="atLeast"/>
        </w:trPr>
        <w:tc>
          <w:tcPr>
            <w:tcW w:w="65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人数</w:t>
            </w:r>
          </w:p>
        </w:tc>
        <w:tc>
          <w:tcPr>
            <w:tcW w:w="678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岗位职责</w:t>
            </w:r>
          </w:p>
        </w:tc>
        <w:tc>
          <w:tcPr>
            <w:tcW w:w="35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lang w:val="en-US"/>
              </w:rPr>
            </w:pPr>
            <w:r>
              <w:rPr>
                <w:rFonts w:hint="default" w:ascii="Times New Roman" w:hAnsi="Times New Roman" w:eastAsia="宋体" w:cs="Times New Roman"/>
                <w:b/>
                <w:bCs/>
                <w:i w:val="0"/>
                <w:iCs w:val="0"/>
                <w:color w:val="000000"/>
                <w:kern w:val="0"/>
                <w:sz w:val="22"/>
                <w:szCs w:val="22"/>
                <w:u w:val="none"/>
                <w:lang w:val="en-US" w:eastAsia="zh-CN" w:bidi="ar"/>
              </w:rPr>
              <w:t>任职</w:t>
            </w:r>
            <w:r>
              <w:rPr>
                <w:rFonts w:hint="eastAsia" w:ascii="Times New Roman" w:hAnsi="Times New Roman" w:eastAsia="宋体" w:cs="Times New Roman"/>
                <w:b/>
                <w:bCs/>
                <w:i w:val="0"/>
                <w:iCs w:val="0"/>
                <w:color w:val="000000"/>
                <w:kern w:val="0"/>
                <w:sz w:val="22"/>
                <w:szCs w:val="22"/>
                <w:u w:val="none"/>
                <w:lang w:val="en-US" w:eastAsia="zh-CN" w:bidi="ar"/>
              </w:rPr>
              <w:t>资格</w:t>
            </w:r>
          </w:p>
        </w:tc>
        <w:tc>
          <w:tcPr>
            <w:tcW w:w="64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480" w:hRule="atLeast"/>
        </w:trPr>
        <w:tc>
          <w:tcPr>
            <w:tcW w:w="658" w:type="dxa"/>
            <w:vMerge w:val="restart"/>
            <w:tcBorders>
              <w:top w:val="single" w:color="auto" w:sz="4" w:space="0"/>
              <w:bottom w:val="single" w:color="auto" w:sz="4" w:space="0"/>
              <w:tl2br w:val="nil"/>
              <w:tr2bl w:val="nil"/>
            </w:tcBorders>
            <w:shd w:val="clear" w:color="auto" w:fill="auto"/>
            <w:noWrap/>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人力资源部</w:t>
            </w:r>
          </w:p>
        </w:tc>
        <w:tc>
          <w:tcPr>
            <w:tcW w:w="758" w:type="dxa"/>
            <w:vMerge w:val="restar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主任</w:t>
            </w:r>
          </w:p>
        </w:tc>
        <w:tc>
          <w:tcPr>
            <w:tcW w:w="685" w:type="dxa"/>
            <w:vMerge w:val="restar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vMerge w:val="restar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全面负责人力资源部工作。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1.负责集团党建工作，包括党建规章制度的制定、党建工作计划起草与落实、党组织动态调整；负责领导班子民主生活会组织督导；负责对所属基层党组织党建责任制落实情况进行考核</w:t>
            </w:r>
            <w:r>
              <w:rPr>
                <w:rFonts w:hint="eastAsia" w:ascii="Times New Roman" w:hAnsi="Times New Roman" w:eastAsia="宋体" w:cs="Times New Roman"/>
                <w:i w:val="0"/>
                <w:iCs w:val="0"/>
                <w:color w:val="000000"/>
                <w:kern w:val="0"/>
                <w:sz w:val="18"/>
                <w:szCs w:val="18"/>
                <w:u w:val="none"/>
                <w:lang w:val="en-US" w:eastAsia="zh-CN" w:bidi="ar"/>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2.负责党员思想政治教育、党员发展、党费收缴管理、组织关系转接、党员档案管理等工作，推进学习型党组织建设</w:t>
            </w:r>
            <w:r>
              <w:rPr>
                <w:rFonts w:hint="eastAsia" w:ascii="Times New Roman" w:hAnsi="Times New Roman" w:eastAsia="宋体" w:cs="Times New Roman"/>
                <w:i w:val="0"/>
                <w:iCs w:val="0"/>
                <w:color w:val="000000"/>
                <w:kern w:val="0"/>
                <w:sz w:val="18"/>
                <w:szCs w:val="18"/>
                <w:u w:val="none"/>
                <w:lang w:val="en-US" w:eastAsia="zh-CN" w:bidi="ar"/>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3.负责统战工作；负责集团工会、职代会、团委工作，协助集团党委领导集团工会、共青团等组织，支持群团组织依照各自章程独立开展工作：负责对集团所属基层群团组织进行指导和考核</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.负责集团意识形态、宣传舆论、企业文化和品牌建设工作；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.负责建立健全集团人力资源管理体系，统筹管理集团人力资源工作，制定完善相关管理制度；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..负责集团人才配置和人才发展工作，建立完善集团招聘管理体系，制订人才招聘计划，组织实施人员招聘、甄选、入离职管理工作；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.负责薪酬福利管理，制定完善集团薪酬福利体系，建立健全集团薪酬福利制度，组织集团员工的薪酬、社保公积金、企业年金、补充医疗保险等管理工作；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.负责人员绩效考核管理。建立健全集团人员绩效考核体系，研究完善相关制度，组织开展员工绩效考核工作，加强考核评价结果的应用；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.负责员工培训管理</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员工劳动关系管理</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人事档案管理工作；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10.负责对集团下属公司的人力资源管理工作进行指导、监督和检查；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11.负责与党群干部、人力资源管理相关工作及完成集团党委和领导交办的其他工作。</w:t>
            </w:r>
          </w:p>
        </w:tc>
        <w:tc>
          <w:tcPr>
            <w:tcW w:w="3534" w:type="dxa"/>
            <w:vMerge w:val="restar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1.大学本科及以上；8年及以上工作经验，2年及以上管理岗位工作经历，5年及以上本专业/领域相关工作经历；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2.政治学、马克思主义理论、人力资源管理、行政管理等专业优先；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3.具有党政或人力资源管理工作及团队管理经验，具有党委部门或组织部门工作经历者优先；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4.精通基层党组织建设及党建考核，熟悉《中国共产党国有企业基层组织工作条例》及干部选拔任用工作流程，擅长人力资源体系顶层设计，具备企业文化建设实战经验；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5.政治敏锐度高，原则性强，统筹协调能力突出；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6.持有一级人力资源管理师或高级经济师及以上证书优先；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w:t>
            </w:r>
          </w:p>
        </w:tc>
        <w:tc>
          <w:tcPr>
            <w:tcW w:w="648" w:type="dxa"/>
            <w:vMerge w:val="restart"/>
            <w:tcBorders>
              <w:top w:val="single" w:color="auto" w:sz="4" w:space="0"/>
              <w:bottom w:val="single" w:color="auto" w:sz="4" w:space="0"/>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400" w:hRule="atLeast"/>
        </w:trPr>
        <w:tc>
          <w:tcPr>
            <w:tcW w:w="658" w:type="dxa"/>
            <w:vMerge w:val="continue"/>
            <w:tcBorders>
              <w:top w:val="single" w:color="auto" w:sz="4" w:space="0"/>
              <w:bottom w:val="single" w:color="auto" w:sz="4" w:space="0"/>
              <w:tl2br w:val="nil"/>
              <w:tr2bl w:val="nil"/>
            </w:tcBorders>
            <w:shd w:val="clear" w:color="auto" w:fill="auto"/>
            <w:noWrap/>
            <w:textDirection w:val="tbRlV"/>
            <w:vAlign w:val="center"/>
          </w:tcPr>
          <w:p>
            <w:pPr>
              <w:jc w:val="center"/>
              <w:rPr>
                <w:rFonts w:hint="default" w:ascii="Times New Roman" w:hAnsi="Times New Roman" w:eastAsia="宋体" w:cs="Times New Roman"/>
                <w:b/>
                <w:bCs/>
                <w:i w:val="0"/>
                <w:iCs w:val="0"/>
                <w:color w:val="000000"/>
                <w:sz w:val="18"/>
                <w:szCs w:val="18"/>
                <w:u w:val="none"/>
              </w:rPr>
            </w:pPr>
          </w:p>
        </w:tc>
        <w:tc>
          <w:tcPr>
            <w:tcW w:w="758" w:type="dxa"/>
            <w:vMerge w:val="continue"/>
            <w:tcBorders>
              <w:top w:val="single" w:color="auto" w:sz="4" w:space="0"/>
              <w:bottom w:val="single" w:color="auto" w:sz="4" w:space="0"/>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85" w:type="dxa"/>
            <w:vMerge w:val="continue"/>
            <w:tcBorders>
              <w:top w:val="single" w:color="auto" w:sz="4" w:space="0"/>
              <w:bottom w:val="single" w:color="auto" w:sz="4" w:space="0"/>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89" w:type="dxa"/>
            <w:vMerge w:val="continue"/>
            <w:tcBorders>
              <w:top w:val="single" w:color="auto" w:sz="4" w:space="0"/>
              <w:bottom w:val="single" w:color="auto" w:sz="4" w:space="0"/>
              <w:tl2br w:val="nil"/>
              <w:tr2bl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3534" w:type="dxa"/>
            <w:vMerge w:val="continue"/>
            <w:tcBorders>
              <w:top w:val="single" w:color="auto" w:sz="4" w:space="0"/>
              <w:bottom w:val="single" w:color="auto" w:sz="4" w:space="0"/>
              <w:tl2br w:val="nil"/>
              <w:tr2bl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648" w:type="dxa"/>
            <w:vMerge w:val="continue"/>
            <w:tcBorders>
              <w:top w:val="single" w:color="auto" w:sz="4" w:space="0"/>
              <w:bottom w:val="single" w:color="auto" w:sz="4" w:space="0"/>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220" w:hRule="atLeast"/>
        </w:trPr>
        <w:tc>
          <w:tcPr>
            <w:tcW w:w="658" w:type="dxa"/>
            <w:tcBorders>
              <w:top w:val="single" w:color="auto" w:sz="4" w:space="0"/>
              <w:tl2br w:val="nil"/>
              <w:tr2bl w:val="nil"/>
            </w:tcBorders>
            <w:shd w:val="clear" w:color="auto" w:fill="auto"/>
            <w:noWrap/>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金融发展部</w:t>
            </w:r>
          </w:p>
        </w:tc>
        <w:tc>
          <w:tcPr>
            <w:tcW w:w="758" w:type="dxa"/>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副主任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（主管银行融资）</w:t>
            </w:r>
          </w:p>
        </w:tc>
        <w:tc>
          <w:tcPr>
            <w:tcW w:w="685" w:type="dxa"/>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tcBorders>
              <w:top w:val="single" w:color="auto" w:sz="4" w:space="0"/>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1.负责集团融资管理相关制度、流程的制定和修改；</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2.负责集团授信管理工作，开展集团与各授信银行总、分、支三级行的授信年审工作、关系维护及信用额度的使用，监督指导集团下属各级公司的融资申请、额度使用</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3.负责集团整体融资计划的编制、执行和分析总结，牵头制定偿债计划，各部门分子公司配合，科学合理地控制债务规模、优化债务结构</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4.执行集团的融资方针政策，组织开展各项融资工作，保障企业资金的流动性；协助子公司融资相关事宜，审核子公司融资业务，审核集团担保事项</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5.负责统筹集团公司债、企业债等债券发行工作，协助管委会申请国家专项债和政策性资金</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6.负责推动金融创新，协调引导金融机构支持服务实体经济发展，助力培育推荐企业挂牌上市等金融工作</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7.组织开展集团相关REITs、ABS、ABN等资产证券化业务</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8.牵头负责集团公司及各级子公司上市、资产并购重组等重大资本运作工作，维护集团层面与投资银行类金融机构战略合作关系。</w:t>
            </w:r>
          </w:p>
        </w:tc>
        <w:tc>
          <w:tcPr>
            <w:tcW w:w="3534" w:type="dxa"/>
            <w:tcBorders>
              <w:top w:val="single" w:color="auto" w:sz="4" w:space="0"/>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1.大学本科及以上；5年及以上工作经验，1年及以上管理岗位工作经历，2年及以上本专业/领域相关工作经历；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2.金融学、经济学、会计学、财务管理等专业优先；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3.具有银行对公业务或企业融资管理及团队管理经验，主导过大型企业集团授信额度管理及银团贷款项目，具有商业银行公司业务部或投行部工作经验或与国有大行总行级合作经验者优先；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4.精通银行授信审批全流程及额度管控，熟悉流贷、项目贷、贸易融资等产品，具备银行高层资源维护能力，擅长融资结构优化及流动性管理；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5.商务谈判能力强，数据敏感度高，注重细节；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6.持有CFA、CPA、银行从业资格等证书者优先；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7.中共党员优先。</w:t>
            </w:r>
          </w:p>
        </w:tc>
        <w:tc>
          <w:tcPr>
            <w:tcW w:w="648" w:type="dxa"/>
            <w:tcBorders>
              <w:top w:val="single" w:color="auto" w:sz="4" w:space="0"/>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840" w:hRule="atLeast"/>
        </w:trPr>
        <w:tc>
          <w:tcPr>
            <w:tcW w:w="658" w:type="dxa"/>
            <w:tcBorders>
              <w:tl2br w:val="nil"/>
              <w:tr2bl w:val="nil"/>
            </w:tcBorders>
            <w:shd w:val="clear" w:color="auto" w:fill="auto"/>
            <w:noWrap/>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法律合规部</w:t>
            </w:r>
          </w:p>
        </w:tc>
        <w:tc>
          <w:tcPr>
            <w:tcW w:w="75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副主任</w:t>
            </w:r>
          </w:p>
        </w:tc>
        <w:tc>
          <w:tcPr>
            <w:tcW w:w="68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1.负责集团法律事务与合规管理，全面风险管理，内部控制管理及派出董事、监事管理等基本制度的建立与相关工作的研究规划；</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2.负责统筹合规管理工作，参与重大事项的法律合规审查；对重大经营决策与规章制度进行法律审核，并负责合同管理，处理合同审查等合同法律事务；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3.负责外聘律师管理工作，建立律所供应商库，负责选聘律所并对外聘律师的服务进行监督和评价；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4.负责统筹法律纠纷案件管理，制定集团重大案件的应对方案并指导和审议各子公司的案件应对方案；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5.负责法律咨询与法治宣传，参与集团重大经济活动，提供 法律协助、指导并通过法治讲座等形式，推进集团法治建设；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6.负责统筹全面风险管理工作，并具体负责法律风险管理；负责研究提出风险管理策略和跨职能部门的重大风险管理解决方案；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7.负责统筹集团管理制度和内部控制体系建设，指导协调各部门、各公司开展制度建设和内部控制管理；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8.负责派出至二级公司的董事、监事具体履职管理，组织对派出董事、监事履职情况进行检查与评价；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9.负责知识产权与授权管理，负责集团商标申请、知识产权保护、规范授权流程、审核授权委托书等；</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10.负责对各子公司法律合规，全面风险管理，内控管理以及派出董事、监事管理等工作进行监督、指导和检查。</w:t>
            </w:r>
          </w:p>
        </w:tc>
        <w:tc>
          <w:tcPr>
            <w:tcW w:w="3534"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1.大学本科及以上；5年及以上工作经验，1年及以上管理岗位工作经历，2年及以上本专业/领域相关工作经历；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2.法学（民商法、经济法、国际商法等方向）专业优先；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企业法务、合规管理或律所非诉业务管理及团队管理经验，主导过合同体系搭建、重大商事纠纷案件、企业合规体系建设或并购重组法律尽调或知识产权管理项目，具有司法机关、知名律所或上市公司法务总监经历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企业合规体系搭建、内控流程设计及全类型合同审查及标准化建设，擅长重大经营决策法律风险评估、制度流程合规性审查，具备复杂商事案件诉讼/仲裁实战经验，熟悉上市公司监管规则、国资合规要求、诉讼案件全周期管控及董事监事履职管理规范；</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5.原则性强、具备商业思维与风险平衡能力、具备高层级跨部门协调能力、细致严谨、具备培训宣讲能力；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6.持有企业法律顾问资格或律师执业证；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7.中共党员优先。</w:t>
            </w:r>
          </w:p>
        </w:tc>
        <w:tc>
          <w:tcPr>
            <w:tcW w:w="648"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300" w:hRule="atLeast"/>
        </w:trPr>
        <w:tc>
          <w:tcPr>
            <w:tcW w:w="658" w:type="dxa"/>
            <w:tcBorders>
              <w:tl2br w:val="nil"/>
              <w:tr2bl w:val="nil"/>
            </w:tcBorders>
            <w:shd w:val="clear" w:color="auto" w:fill="auto"/>
            <w:noWrap/>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廊坊临空资产运营管理有限公司</w:t>
            </w:r>
          </w:p>
        </w:tc>
        <w:tc>
          <w:tcPr>
            <w:tcW w:w="75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副总</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经理</w:t>
            </w:r>
          </w:p>
        </w:tc>
        <w:tc>
          <w:tcPr>
            <w:tcW w:w="68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tcBorders>
              <w:tl2br w:val="nil"/>
              <w:tr2bl w:val="nil"/>
            </w:tcBorders>
            <w:shd w:val="clear" w:color="auto" w:fill="auto"/>
            <w:vAlign w:val="center"/>
          </w:tcPr>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协助总经理开展公司管理工作；</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协助统筹资产运营过程中的各种协调、保障工作；</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负责集团所有经营性或商业类资产（包括集团自有酒店、场馆、写字楼、底商、住宅、公寓、厂房等）的招商、宣传、租赁等运营管理工作，并经授权后签订有关资产运营服务合同；</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负责公司资产项目保值、增值、处置工作；</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对公司招商营运工作进行统筹管理、协调和推进并监督落地情况；</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负责制订、实施集团商业类资产接收计划、运营策略、损益方案</w:t>
            </w:r>
            <w:r>
              <w:rPr>
                <w:rFonts w:hint="eastAsia" w:ascii="Times New Roman" w:hAnsi="Times New Roman" w:eastAsia="宋体" w:cs="Times New Roman"/>
                <w:i w:val="0"/>
                <w:iCs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负责集团自有写字楼、底商、广告位等商业类资产的招商实施及运营管理的监督工作；</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负责统筹对持有资产后续运营的项目定位、规划设计、综合收益测算等工作；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负责监督相关第三方服务公司履行资产运营服务合同，提高资产使用价值、为客户提供满意服务。负责公司业务涉及自有资产及临空区管委会授权范围内的资产确认、资产移交、资产处置及地上物清表等工作；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.负责其他与资产运营公司相关的或集团领导交办的工作。</w:t>
            </w:r>
          </w:p>
        </w:tc>
        <w:tc>
          <w:tcPr>
            <w:tcW w:w="3534"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1.大学本科及以上；5年及以上工作经验，1年及以上管理岗位工作经历，2年及以上本专业/领域相关工作经历；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2.房地产经营管理、工商管理、金融学、资产评估等专业优先；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3.具有商业资产运营或项目管理及团队管理经验，主导过大型商业综合体、产业园区等经营性资产运营项目，具有政府平台公司或国企资产盘活经验者优先；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4.精通商业地产、公共资源等经营性资产运营模式，熟悉国有资产租赁、处置相关政策，擅长资产收益分析与价值提升，具备运营质量评估与绩效督导能力，熟练运用运营数据分析工具；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5.市场敏感度高，商业思维突出，原则性强，善于建立标准化运营体系；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6.持有中级经济师或中级工程师职称及以上、注册资产评估师、房地产估价师等证书者优先；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7.中共党员优先。</w:t>
            </w:r>
          </w:p>
        </w:tc>
        <w:tc>
          <w:tcPr>
            <w:tcW w:w="648"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300" w:hRule="atLeast"/>
        </w:trPr>
        <w:tc>
          <w:tcPr>
            <w:tcW w:w="658" w:type="dxa"/>
            <w:tcBorders>
              <w:tl2br w:val="nil"/>
              <w:tr2bl w:val="nil"/>
            </w:tcBorders>
            <w:shd w:val="clear" w:color="auto" w:fill="auto"/>
            <w:noWrap/>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廊坊临空城市运营发展有限公司</w:t>
            </w:r>
          </w:p>
        </w:tc>
        <w:tc>
          <w:tcPr>
            <w:tcW w:w="75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总经理</w:t>
            </w:r>
          </w:p>
        </w:tc>
        <w:tc>
          <w:tcPr>
            <w:tcW w:w="68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1.负</w:t>
            </w:r>
            <w:bookmarkStart w:id="0" w:name="_GoBack"/>
            <w:r>
              <w:rPr>
                <w:rFonts w:hint="default" w:ascii="Times New Roman" w:hAnsi="Times New Roman" w:eastAsia="宋体" w:cs="Times New Roman"/>
                <w:i w:val="0"/>
                <w:iCs w:val="0"/>
                <w:color w:val="000000"/>
                <w:kern w:val="0"/>
                <w:sz w:val="18"/>
                <w:szCs w:val="18"/>
                <w:u w:val="none"/>
                <w:lang w:val="en-US" w:eastAsia="zh-CN" w:bidi="ar"/>
              </w:rPr>
              <w:t>责管委会授权的市政道路及附属设施运维养护工作：道路与桥梁年度维修保养方案、计划、预算的编制与报批，维修保养项目的技术管理、现场组织、质量的检查等工作；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2.负责管委授权的园林绿化运维养护工作:绿化养护日常事务的综合协调与组织落实等工作；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3.负责综合水务管理、综合能源利用等业务:雨水管网、雨水泵站及配套设施的年度维修保养方案、计划、预算的编制与报批，防汛应急预案的制定与实施，负责组织汛前排水设施的检修、试运行等工作；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4.负责下属合资公司的管理工作；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5.负责其他与城市运营公司相关的或集团领导交办的工作。</w:t>
            </w:r>
            <w:bookmarkEnd w:id="0"/>
          </w:p>
        </w:tc>
        <w:tc>
          <w:tcPr>
            <w:tcW w:w="3534"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1.大学本科及以上；8年及以上工作经验，2年及以上管理岗位工作经历，5年及以上本专业/领域相关工作经历；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2.城市规划、市政工程、公共事业管理、交通工程、环境工程等专业优先；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3.具有城市基础设施运营或公共事业管理及团队管理经验，主导过城市道路、管网、公用事业设施等大型运营项目，具有城投公司或市政公用企业工作经验或有特许经营权管理经验者优先；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4.精通城市基础设施全周期运营管理，擅长公共资源市场化运营模式设计，具备运营数据分析及智慧化管理能力，熟悉市政公用行业标准及监管要求；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5.统筹协调能力强，善于政企对接，创新意识突出，能推动运营效率提升；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6.持有中级经济师或中级工程师职称及以上、注册城市规划师、PMP、建造师等证书者优先；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7.中共党员优先。</w:t>
            </w:r>
          </w:p>
        </w:tc>
        <w:tc>
          <w:tcPr>
            <w:tcW w:w="648"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bl>
    <w:p>
      <w:pPr>
        <w:rPr>
          <w:rFonts w:hint="default" w:ascii="Times New Roman" w:hAnsi="Times New Roman" w:cs="Times New Roman"/>
          <w:lang w:val="en-US" w:eastAsia="zh-CN"/>
        </w:rPr>
      </w:pPr>
    </w:p>
    <w:p/>
    <w:sectPr>
      <w:footerReference r:id="rId3" w:type="default"/>
      <w:pgSz w:w="16838" w:h="11906" w:orient="landscape"/>
      <w:pgMar w:top="1587" w:right="1984" w:bottom="1474"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00000000" w:usb1="00000000" w:usb2="00000000" w:usb3="00000000" w:csb0="00060000"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172DA"/>
    <w:rsid w:val="09230C40"/>
    <w:rsid w:val="18D80C50"/>
    <w:rsid w:val="36F53633"/>
    <w:rsid w:val="49504059"/>
    <w:rsid w:val="68F87311"/>
    <w:rsid w:val="6BFB16AE"/>
    <w:rsid w:val="7DE3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3743</Words>
  <Characters>3841</Characters>
  <Lines>0</Lines>
  <Paragraphs>0</Paragraphs>
  <TotalTime>49</TotalTime>
  <ScaleCrop>false</ScaleCrop>
  <LinksUpToDate>false</LinksUpToDate>
  <CharactersWithSpaces>3842</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2025-09-12T11:16:00Z</dcterms:created>
  <dc:creator>Administrator</dc:creator>
  <cp:lastModifiedBy>眉女璇</cp:lastModifiedBy>
  <cp:lastPrinted>2025-10-23T16:12:00Z</cp:lastPrinted>
  <dcterms:modified xsi:type="dcterms:W3CDTF">2025-11-03T09:57:30Z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KSOTemplateDocerSaveRecord">
    <vt:lpwstr>eyJoZGlkIjoiZDA0NzA5MjQ1MTM4M2M0YjU0NGFjZGMyYWE0YzViZWIiLCJ1c2VySWQiOiI1MDM1MTYxNDYifQ==</vt:lpwstr>
  </property>
  <property fmtid="{D5CDD505-2E9C-101B-9397-08002B2CF9AE}" pid="4" name="ICV">
    <vt:lpwstr>9DB408CF61791B930A0C0869B2D110AE_43</vt:lpwstr>
  </property>
</Properties>
</file>