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EC868">
      <w:pPr>
        <w:rPr>
          <w:rFonts w:ascii="黑体" w:hAnsi="黑体" w:eastAsia="黑体"/>
          <w:sz w:val="32"/>
          <w:szCs w:val="32"/>
        </w:rPr>
      </w:pPr>
      <w:bookmarkStart w:id="0" w:name="_GoBack"/>
      <w:r>
        <w:rPr>
          <w:rFonts w:hint="eastAsia" w:ascii="黑体" w:hAnsi="黑体" w:eastAsia="黑体"/>
          <w:sz w:val="32"/>
          <w:szCs w:val="32"/>
        </w:rPr>
        <w:t>附件1：</w:t>
      </w:r>
    </w:p>
    <w:p w14:paraId="521E7803">
      <w:pPr>
        <w:jc w:val="center"/>
        <w:rPr>
          <w:rFonts w:ascii="黑体" w:hAnsi="黑体" w:eastAsia="黑体"/>
          <w:sz w:val="32"/>
          <w:szCs w:val="32"/>
        </w:rPr>
      </w:pPr>
      <w:r>
        <w:rPr>
          <w:rFonts w:hint="eastAsia" w:ascii="黑体" w:hAnsi="黑体" w:eastAsia="黑体" w:cs="仿宋_GB2312"/>
          <w:sz w:val="32"/>
          <w:szCs w:val="32"/>
        </w:rPr>
        <w:t>岗位职责及任职条件表</w:t>
      </w:r>
    </w:p>
    <w:bookmarkEnd w:id="0"/>
    <w:tbl>
      <w:tblPr>
        <w:tblStyle w:val="2"/>
        <w:tblW w:w="15338" w:type="dxa"/>
        <w:tblInd w:w="-601" w:type="dxa"/>
        <w:tblLayout w:type="autofit"/>
        <w:tblCellMar>
          <w:top w:w="0" w:type="dxa"/>
          <w:left w:w="108" w:type="dxa"/>
          <w:bottom w:w="0" w:type="dxa"/>
          <w:right w:w="108" w:type="dxa"/>
        </w:tblCellMar>
      </w:tblPr>
      <w:tblGrid>
        <w:gridCol w:w="1135"/>
        <w:gridCol w:w="992"/>
        <w:gridCol w:w="850"/>
        <w:gridCol w:w="709"/>
        <w:gridCol w:w="4990"/>
        <w:gridCol w:w="6662"/>
      </w:tblGrid>
      <w:tr w14:paraId="784509CA">
        <w:tblPrEx>
          <w:tblCellMar>
            <w:top w:w="0" w:type="dxa"/>
            <w:left w:w="108" w:type="dxa"/>
            <w:bottom w:w="0" w:type="dxa"/>
            <w:right w:w="108" w:type="dxa"/>
          </w:tblCellMar>
        </w:tblPrEx>
        <w:trPr>
          <w:trHeight w:val="593" w:hRule="atLeast"/>
        </w:trPr>
        <w:tc>
          <w:tcPr>
            <w:tcW w:w="11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1A112">
            <w:pPr>
              <w:widowControl/>
              <w:jc w:val="center"/>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部门</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548BBF28">
            <w:pPr>
              <w:widowControl/>
              <w:jc w:val="center"/>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岗位</w:t>
            </w:r>
          </w:p>
          <w:p w14:paraId="389D06C2">
            <w:pPr>
              <w:widowControl/>
              <w:jc w:val="center"/>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名称</w:t>
            </w:r>
          </w:p>
        </w:tc>
        <w:tc>
          <w:tcPr>
            <w:tcW w:w="850" w:type="dxa"/>
            <w:tcBorders>
              <w:top w:val="single" w:color="auto" w:sz="4" w:space="0"/>
              <w:left w:val="nil"/>
              <w:bottom w:val="single" w:color="auto" w:sz="4" w:space="0"/>
              <w:right w:val="single" w:color="auto" w:sz="4" w:space="0"/>
            </w:tcBorders>
            <w:shd w:val="clear" w:color="auto" w:fill="auto"/>
            <w:noWrap/>
            <w:vAlign w:val="center"/>
          </w:tcPr>
          <w:p w14:paraId="7B191B70">
            <w:pPr>
              <w:widowControl/>
              <w:jc w:val="center"/>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人数</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0D3E8529">
            <w:pPr>
              <w:widowControl/>
              <w:jc w:val="center"/>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职级</w:t>
            </w:r>
          </w:p>
        </w:tc>
        <w:tc>
          <w:tcPr>
            <w:tcW w:w="4990" w:type="dxa"/>
            <w:tcBorders>
              <w:top w:val="single" w:color="auto" w:sz="4" w:space="0"/>
              <w:left w:val="nil"/>
              <w:bottom w:val="single" w:color="auto" w:sz="4" w:space="0"/>
              <w:right w:val="single" w:color="auto" w:sz="4" w:space="0"/>
            </w:tcBorders>
            <w:shd w:val="clear" w:color="auto" w:fill="auto"/>
            <w:noWrap/>
            <w:vAlign w:val="center"/>
          </w:tcPr>
          <w:p w14:paraId="328737E8">
            <w:pPr>
              <w:widowControl/>
              <w:jc w:val="center"/>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岗位职责</w:t>
            </w:r>
          </w:p>
        </w:tc>
        <w:tc>
          <w:tcPr>
            <w:tcW w:w="6662" w:type="dxa"/>
            <w:tcBorders>
              <w:top w:val="single" w:color="auto" w:sz="4" w:space="0"/>
              <w:left w:val="nil"/>
              <w:bottom w:val="single" w:color="auto" w:sz="4" w:space="0"/>
              <w:right w:val="single" w:color="auto" w:sz="4" w:space="0"/>
            </w:tcBorders>
            <w:shd w:val="clear" w:color="auto" w:fill="auto"/>
            <w:noWrap/>
            <w:vAlign w:val="center"/>
          </w:tcPr>
          <w:p w14:paraId="08789A19">
            <w:pPr>
              <w:widowControl/>
              <w:jc w:val="center"/>
              <w:rPr>
                <w:rFonts w:ascii="黑体" w:hAnsi="黑体" w:eastAsia="黑体" w:cs="宋体"/>
                <w:b/>
                <w:bCs/>
                <w:color w:val="000000"/>
                <w:kern w:val="0"/>
                <w:sz w:val="24"/>
                <w:szCs w:val="24"/>
              </w:rPr>
            </w:pPr>
            <w:r>
              <w:rPr>
                <w:rFonts w:hint="eastAsia" w:ascii="黑体" w:hAnsi="黑体" w:eastAsia="黑体" w:cs="宋体"/>
                <w:b/>
                <w:bCs/>
                <w:color w:val="000000"/>
                <w:kern w:val="0"/>
                <w:sz w:val="24"/>
                <w:szCs w:val="24"/>
              </w:rPr>
              <w:t>任职要求</w:t>
            </w:r>
          </w:p>
        </w:tc>
      </w:tr>
      <w:tr w14:paraId="07E4D40B">
        <w:tblPrEx>
          <w:tblCellMar>
            <w:top w:w="0" w:type="dxa"/>
            <w:left w:w="108" w:type="dxa"/>
            <w:bottom w:w="0" w:type="dxa"/>
            <w:right w:w="108" w:type="dxa"/>
          </w:tblCellMar>
        </w:tblPrEx>
        <w:trPr>
          <w:trHeight w:val="5491" w:hRule="atLeast"/>
        </w:trPr>
        <w:tc>
          <w:tcPr>
            <w:tcW w:w="1135" w:type="dxa"/>
            <w:tcBorders>
              <w:top w:val="nil"/>
              <w:left w:val="single" w:color="auto" w:sz="4" w:space="0"/>
              <w:bottom w:val="single" w:color="auto" w:sz="4" w:space="0"/>
              <w:right w:val="single" w:color="auto" w:sz="4" w:space="0"/>
            </w:tcBorders>
            <w:shd w:val="clear" w:color="auto" w:fill="auto"/>
            <w:vAlign w:val="center"/>
          </w:tcPr>
          <w:p w14:paraId="0B9583D8">
            <w:pPr>
              <w:widowControl/>
              <w:jc w:val="center"/>
              <w:rPr>
                <w:rFonts w:hint="eastAsia" w:ascii="仿宋_GB2312" w:hAnsi="等线" w:eastAsia="仿宋_GB2312" w:cs="宋体"/>
                <w:kern w:val="0"/>
                <w:sz w:val="20"/>
                <w:szCs w:val="20"/>
              </w:rPr>
            </w:pPr>
            <w:r>
              <w:rPr>
                <w:rFonts w:hint="eastAsia" w:ascii="仿宋_GB2312" w:hAnsi="等线" w:eastAsia="仿宋_GB2312" w:cs="宋体"/>
                <w:kern w:val="0"/>
                <w:sz w:val="20"/>
                <w:szCs w:val="20"/>
              </w:rPr>
              <w:t>纪检监察部</w:t>
            </w:r>
          </w:p>
        </w:tc>
        <w:tc>
          <w:tcPr>
            <w:tcW w:w="992" w:type="dxa"/>
            <w:tcBorders>
              <w:top w:val="nil"/>
              <w:left w:val="nil"/>
              <w:bottom w:val="single" w:color="auto" w:sz="4" w:space="0"/>
              <w:right w:val="single" w:color="auto" w:sz="4" w:space="0"/>
            </w:tcBorders>
            <w:shd w:val="clear" w:color="auto" w:fill="auto"/>
            <w:vAlign w:val="center"/>
          </w:tcPr>
          <w:p w14:paraId="01EFB9E2">
            <w:pPr>
              <w:widowControl/>
              <w:jc w:val="center"/>
              <w:rPr>
                <w:rFonts w:hint="eastAsia" w:ascii="仿宋_GB2312" w:hAnsi="等线" w:eastAsia="仿宋_GB2312" w:cs="宋体"/>
                <w:kern w:val="0"/>
                <w:sz w:val="20"/>
                <w:szCs w:val="20"/>
              </w:rPr>
            </w:pPr>
            <w:r>
              <w:rPr>
                <w:rFonts w:hint="eastAsia" w:ascii="仿宋_GB2312" w:hAnsi="等线" w:eastAsia="仿宋_GB2312" w:cs="宋体"/>
                <w:kern w:val="0"/>
                <w:sz w:val="20"/>
                <w:szCs w:val="20"/>
                <w:lang w:val="en-US" w:eastAsia="zh-CN"/>
              </w:rPr>
              <w:t>纪检监察部（审计部）主管</w:t>
            </w:r>
          </w:p>
        </w:tc>
        <w:tc>
          <w:tcPr>
            <w:tcW w:w="850" w:type="dxa"/>
            <w:tcBorders>
              <w:top w:val="nil"/>
              <w:left w:val="nil"/>
              <w:bottom w:val="single" w:color="auto" w:sz="4" w:space="0"/>
              <w:right w:val="single" w:color="auto" w:sz="4" w:space="0"/>
            </w:tcBorders>
            <w:shd w:val="clear" w:color="auto" w:fill="auto"/>
            <w:vAlign w:val="center"/>
          </w:tcPr>
          <w:p w14:paraId="64BAC05B">
            <w:pPr>
              <w:widowControl/>
              <w:jc w:val="center"/>
              <w:rPr>
                <w:rFonts w:ascii="仿宋_GB2312" w:hAnsi="等线" w:eastAsia="仿宋_GB2312" w:cs="宋体"/>
                <w:kern w:val="0"/>
                <w:sz w:val="20"/>
                <w:szCs w:val="20"/>
              </w:rPr>
            </w:pPr>
            <w:r>
              <w:rPr>
                <w:rFonts w:hint="eastAsia" w:ascii="仿宋_GB2312" w:hAnsi="等线" w:eastAsia="仿宋_GB2312" w:cs="宋体"/>
                <w:kern w:val="0"/>
                <w:sz w:val="20"/>
                <w:szCs w:val="20"/>
              </w:rPr>
              <w:t>1</w:t>
            </w:r>
          </w:p>
        </w:tc>
        <w:tc>
          <w:tcPr>
            <w:tcW w:w="709" w:type="dxa"/>
            <w:tcBorders>
              <w:top w:val="nil"/>
              <w:left w:val="nil"/>
              <w:bottom w:val="single" w:color="auto" w:sz="4" w:space="0"/>
              <w:right w:val="single" w:color="auto" w:sz="4" w:space="0"/>
            </w:tcBorders>
            <w:shd w:val="clear" w:color="auto" w:fill="auto"/>
            <w:vAlign w:val="center"/>
          </w:tcPr>
          <w:p w14:paraId="6B72582C">
            <w:pPr>
              <w:widowControl/>
              <w:jc w:val="center"/>
              <w:rPr>
                <w:rFonts w:hint="eastAsia" w:ascii="仿宋_GB2312" w:hAnsi="等线" w:eastAsia="仿宋_GB2312" w:cs="宋体"/>
                <w:kern w:val="0"/>
                <w:sz w:val="20"/>
                <w:szCs w:val="20"/>
                <w:lang w:eastAsia="zh-CN"/>
              </w:rPr>
            </w:pPr>
            <w:r>
              <w:rPr>
                <w:rFonts w:hint="eastAsia" w:ascii="仿宋_GB2312" w:hAnsi="等线" w:eastAsia="仿宋_GB2312" w:cs="宋体"/>
                <w:kern w:val="0"/>
                <w:sz w:val="20"/>
                <w:szCs w:val="20"/>
                <w:lang w:val="en-US" w:eastAsia="zh-CN"/>
              </w:rPr>
              <w:t>主管</w:t>
            </w:r>
          </w:p>
        </w:tc>
        <w:tc>
          <w:tcPr>
            <w:tcW w:w="4990" w:type="dxa"/>
            <w:tcBorders>
              <w:top w:val="nil"/>
              <w:left w:val="nil"/>
              <w:bottom w:val="single" w:color="auto" w:sz="4" w:space="0"/>
              <w:right w:val="single" w:color="auto" w:sz="4" w:space="0"/>
            </w:tcBorders>
            <w:shd w:val="clear" w:color="auto" w:fill="auto"/>
            <w:vAlign w:val="center"/>
          </w:tcPr>
          <w:p w14:paraId="04E35E34">
            <w:pPr>
              <w:widowControl/>
              <w:jc w:val="left"/>
              <w:rPr>
                <w:rFonts w:hint="eastAsia" w:ascii="仿宋_GB2312" w:hAnsi="等线" w:eastAsia="仿宋_GB2312" w:cs="宋体"/>
                <w:kern w:val="0"/>
                <w:sz w:val="20"/>
                <w:szCs w:val="20"/>
              </w:rPr>
            </w:pPr>
            <w:r>
              <w:rPr>
                <w:rFonts w:hint="eastAsia" w:ascii="仿宋_GB2312" w:hAnsi="等线" w:eastAsia="仿宋_GB2312" w:cs="宋体"/>
                <w:kern w:val="0"/>
                <w:sz w:val="20"/>
                <w:szCs w:val="20"/>
                <w:lang w:eastAsia="zh-CN"/>
              </w:rPr>
              <w:t>（</w:t>
            </w:r>
            <w:r>
              <w:rPr>
                <w:rFonts w:hint="eastAsia" w:ascii="仿宋_GB2312" w:hAnsi="等线" w:eastAsia="仿宋_GB2312" w:cs="宋体"/>
                <w:kern w:val="0"/>
                <w:sz w:val="20"/>
                <w:szCs w:val="20"/>
                <w:lang w:val="en-US" w:eastAsia="zh-CN"/>
              </w:rPr>
              <w:t>1</w:t>
            </w:r>
            <w:r>
              <w:rPr>
                <w:rFonts w:hint="eastAsia" w:ascii="仿宋_GB2312" w:hAnsi="等线" w:eastAsia="仿宋_GB2312" w:cs="宋体"/>
                <w:kern w:val="0"/>
                <w:sz w:val="20"/>
                <w:szCs w:val="20"/>
                <w:lang w:eastAsia="zh-CN"/>
              </w:rPr>
              <w:t>）</w:t>
            </w:r>
            <w:r>
              <w:rPr>
                <w:rFonts w:hint="eastAsia" w:ascii="仿宋_GB2312" w:hAnsi="等线" w:eastAsia="仿宋_GB2312" w:cs="宋体"/>
                <w:kern w:val="0"/>
                <w:sz w:val="20"/>
                <w:szCs w:val="20"/>
              </w:rPr>
              <w:t>协助部门负责人检查公司各级党组织和党员领导人员对党的路线、方针、政策和决议的执行情况；</w:t>
            </w:r>
          </w:p>
          <w:p w14:paraId="7D2CE630">
            <w:pPr>
              <w:widowControl/>
              <w:jc w:val="left"/>
              <w:rPr>
                <w:rFonts w:hint="eastAsia" w:ascii="仿宋_GB2312" w:hAnsi="等线" w:eastAsia="仿宋_GB2312" w:cs="宋体"/>
                <w:kern w:val="0"/>
                <w:sz w:val="20"/>
                <w:szCs w:val="20"/>
              </w:rPr>
            </w:pPr>
            <w:r>
              <w:rPr>
                <w:rFonts w:hint="eastAsia" w:ascii="仿宋_GB2312" w:hAnsi="等线" w:eastAsia="仿宋_GB2312" w:cs="宋体"/>
                <w:kern w:val="0"/>
                <w:sz w:val="20"/>
                <w:szCs w:val="20"/>
                <w:lang w:val="en-US" w:eastAsia="zh-CN"/>
              </w:rPr>
              <w:t>（2）</w:t>
            </w:r>
            <w:r>
              <w:rPr>
                <w:rFonts w:hint="eastAsia" w:ascii="仿宋_GB2312" w:hAnsi="等线" w:eastAsia="仿宋_GB2312" w:cs="宋体"/>
                <w:kern w:val="0"/>
                <w:sz w:val="20"/>
                <w:szCs w:val="20"/>
              </w:rPr>
              <w:t>协助部门负责人对各级领导人员和关键岗位人员执行廉洁从业情况进行监督检查，对领导人员权力行使进行监督；</w:t>
            </w:r>
          </w:p>
          <w:p w14:paraId="26A75AD1">
            <w:pPr>
              <w:widowControl/>
              <w:jc w:val="left"/>
              <w:rPr>
                <w:rFonts w:hint="eastAsia" w:ascii="仿宋_GB2312" w:hAnsi="等线" w:eastAsia="仿宋_GB2312" w:cs="宋体"/>
                <w:kern w:val="0"/>
                <w:sz w:val="20"/>
                <w:szCs w:val="20"/>
              </w:rPr>
            </w:pPr>
            <w:r>
              <w:rPr>
                <w:rFonts w:hint="eastAsia" w:ascii="仿宋_GB2312" w:hAnsi="等线" w:eastAsia="仿宋_GB2312" w:cs="宋体"/>
                <w:kern w:val="0"/>
                <w:sz w:val="20"/>
                <w:szCs w:val="20"/>
                <w:lang w:val="en-US" w:eastAsia="zh-CN"/>
              </w:rPr>
              <w:t>（3）</w:t>
            </w:r>
            <w:r>
              <w:rPr>
                <w:rFonts w:hint="eastAsia" w:ascii="仿宋_GB2312" w:hAnsi="等线" w:eastAsia="仿宋_GB2312" w:cs="宋体"/>
                <w:kern w:val="0"/>
                <w:sz w:val="20"/>
                <w:szCs w:val="20"/>
              </w:rPr>
              <w:t>参与中层及以上管理人员的考察、监督工作，建立和管理领导人员廉政档案，出具党风廉政意见；</w:t>
            </w:r>
          </w:p>
          <w:p w14:paraId="6B5D469F">
            <w:pPr>
              <w:widowControl/>
              <w:jc w:val="left"/>
              <w:rPr>
                <w:rFonts w:hint="eastAsia" w:ascii="仿宋_GB2312" w:hAnsi="等线" w:eastAsia="仿宋_GB2312" w:cs="宋体"/>
                <w:kern w:val="0"/>
                <w:sz w:val="20"/>
                <w:szCs w:val="20"/>
              </w:rPr>
            </w:pPr>
            <w:r>
              <w:rPr>
                <w:rFonts w:hint="eastAsia" w:ascii="仿宋_GB2312" w:hAnsi="等线" w:eastAsia="仿宋_GB2312" w:cs="宋体"/>
                <w:kern w:val="0"/>
                <w:sz w:val="20"/>
                <w:szCs w:val="20"/>
                <w:lang w:val="en-US" w:eastAsia="zh-CN"/>
              </w:rPr>
              <w:t>（4）</w:t>
            </w:r>
            <w:r>
              <w:rPr>
                <w:rFonts w:hint="eastAsia" w:ascii="仿宋_GB2312" w:hAnsi="等线" w:eastAsia="仿宋_GB2312" w:cs="宋体"/>
                <w:kern w:val="0"/>
                <w:sz w:val="20"/>
                <w:szCs w:val="20"/>
              </w:rPr>
              <w:t>协助部门负责人开展信访举报受理、问题线索处置、案件查办等执纪审查工作；</w:t>
            </w:r>
          </w:p>
          <w:p w14:paraId="02840178">
            <w:pPr>
              <w:widowControl/>
              <w:jc w:val="left"/>
              <w:rPr>
                <w:rFonts w:hint="eastAsia" w:ascii="仿宋_GB2312" w:hAnsi="等线" w:eastAsia="仿宋_GB2312" w:cs="宋体"/>
                <w:kern w:val="0"/>
                <w:sz w:val="20"/>
                <w:szCs w:val="20"/>
              </w:rPr>
            </w:pPr>
            <w:r>
              <w:rPr>
                <w:rFonts w:hint="eastAsia" w:ascii="仿宋_GB2312" w:hAnsi="等线" w:eastAsia="仿宋_GB2312" w:cs="宋体"/>
                <w:kern w:val="0"/>
                <w:sz w:val="20"/>
                <w:szCs w:val="20"/>
                <w:lang w:val="en-US" w:eastAsia="zh-CN"/>
              </w:rPr>
              <w:t>（5）</w:t>
            </w:r>
            <w:r>
              <w:rPr>
                <w:rFonts w:hint="eastAsia" w:ascii="仿宋_GB2312" w:hAnsi="等线" w:eastAsia="仿宋_GB2312" w:cs="宋体"/>
                <w:kern w:val="0"/>
                <w:sz w:val="20"/>
                <w:szCs w:val="20"/>
              </w:rPr>
              <w:t>协助部门负责人组织开展纪律教育、警示教育；</w:t>
            </w:r>
          </w:p>
          <w:p w14:paraId="41B06D52">
            <w:pPr>
              <w:widowControl/>
              <w:jc w:val="left"/>
              <w:rPr>
                <w:rFonts w:ascii="仿宋_GB2312" w:hAnsi="等线" w:eastAsia="仿宋_GB2312" w:cs="宋体"/>
                <w:kern w:val="0"/>
                <w:sz w:val="20"/>
                <w:szCs w:val="20"/>
              </w:rPr>
            </w:pPr>
            <w:r>
              <w:rPr>
                <w:rFonts w:hint="eastAsia" w:ascii="仿宋_GB2312" w:hAnsi="等线" w:eastAsia="仿宋_GB2312" w:cs="宋体"/>
                <w:kern w:val="0"/>
                <w:sz w:val="20"/>
                <w:szCs w:val="20"/>
                <w:lang w:val="en-US" w:eastAsia="zh-CN"/>
              </w:rPr>
              <w:t>（6）</w:t>
            </w:r>
            <w:r>
              <w:rPr>
                <w:rFonts w:hint="eastAsia" w:ascii="仿宋_GB2312" w:hAnsi="等线" w:eastAsia="仿宋_GB2312" w:cs="宋体"/>
                <w:kern w:val="0"/>
                <w:sz w:val="20"/>
                <w:szCs w:val="20"/>
              </w:rPr>
              <w:t>负责做好由部门组织的各类综合会议和活动的综合工作。</w:t>
            </w:r>
          </w:p>
        </w:tc>
        <w:tc>
          <w:tcPr>
            <w:tcW w:w="6662" w:type="dxa"/>
            <w:tcBorders>
              <w:top w:val="nil"/>
              <w:left w:val="nil"/>
              <w:bottom w:val="single" w:color="auto" w:sz="4" w:space="0"/>
              <w:right w:val="single" w:color="auto" w:sz="4" w:space="0"/>
            </w:tcBorders>
            <w:shd w:val="clear" w:color="auto" w:fill="auto"/>
            <w:vAlign w:val="center"/>
          </w:tcPr>
          <w:p w14:paraId="62134585">
            <w:pPr>
              <w:widowControl/>
              <w:jc w:val="left"/>
              <w:rPr>
                <w:rFonts w:hint="eastAsia" w:ascii="仿宋_GB2312" w:hAnsi="等线" w:eastAsia="仿宋_GB2312" w:cs="宋体"/>
                <w:kern w:val="0"/>
                <w:sz w:val="20"/>
                <w:szCs w:val="20"/>
                <w:lang w:val="en-US" w:eastAsia="zh-CN"/>
              </w:rPr>
            </w:pPr>
            <w:r>
              <w:rPr>
                <w:rFonts w:hint="eastAsia" w:ascii="仿宋_GB2312" w:hAnsi="等线" w:eastAsia="仿宋_GB2312" w:cs="宋体"/>
                <w:kern w:val="0"/>
                <w:sz w:val="20"/>
                <w:szCs w:val="20"/>
                <w:lang w:val="en-US" w:eastAsia="zh-CN"/>
              </w:rPr>
              <w:t>（1）中共正式党员。</w:t>
            </w:r>
          </w:p>
          <w:p w14:paraId="2DE1E331">
            <w:pPr>
              <w:widowControl/>
              <w:jc w:val="left"/>
              <w:rPr>
                <w:rFonts w:hint="eastAsia" w:ascii="仿宋_GB2312" w:hAnsi="等线" w:eastAsia="仿宋_GB2312" w:cs="宋体"/>
                <w:kern w:val="0"/>
                <w:sz w:val="20"/>
                <w:szCs w:val="20"/>
                <w:lang w:val="en-US" w:eastAsia="zh-CN"/>
              </w:rPr>
            </w:pPr>
            <w:r>
              <w:rPr>
                <w:rFonts w:hint="eastAsia" w:ascii="仿宋_GB2312" w:hAnsi="等线" w:eastAsia="仿宋_GB2312" w:cs="宋体"/>
                <w:kern w:val="0"/>
                <w:sz w:val="20"/>
                <w:szCs w:val="20"/>
                <w:lang w:val="en-US" w:eastAsia="zh-CN"/>
              </w:rPr>
              <w:t>（2）年龄在43周岁及以下（1982年11月1日后出生）。</w:t>
            </w:r>
          </w:p>
          <w:p w14:paraId="5D2D52B0">
            <w:pPr>
              <w:widowControl/>
              <w:jc w:val="left"/>
              <w:rPr>
                <w:rFonts w:hint="eastAsia" w:ascii="仿宋_GB2312" w:hAnsi="等线" w:eastAsia="仿宋_GB2312" w:cs="宋体"/>
                <w:kern w:val="0"/>
                <w:sz w:val="20"/>
                <w:szCs w:val="20"/>
                <w:lang w:val="en-US" w:eastAsia="zh-CN"/>
              </w:rPr>
            </w:pPr>
            <w:r>
              <w:rPr>
                <w:rFonts w:hint="eastAsia" w:ascii="仿宋_GB2312" w:hAnsi="等线" w:eastAsia="仿宋_GB2312" w:cs="宋体"/>
                <w:kern w:val="0"/>
                <w:sz w:val="20"/>
                <w:szCs w:val="20"/>
                <w:lang w:val="en-US" w:eastAsia="zh-CN"/>
              </w:rPr>
              <w:t>（3）专业不限，全日制本科及以上学历；同等条件下成本管理类、法学类、财务类、审计类等相关专业优先，具备法律、会计、建造师等职业资格证书、中级及以上职称者优先。</w:t>
            </w:r>
          </w:p>
          <w:p w14:paraId="437350FB">
            <w:pPr>
              <w:widowControl/>
              <w:jc w:val="left"/>
              <w:rPr>
                <w:rFonts w:hint="eastAsia" w:ascii="仿宋_GB2312" w:hAnsi="等线" w:eastAsia="仿宋_GB2312" w:cs="宋体"/>
                <w:kern w:val="0"/>
                <w:sz w:val="20"/>
                <w:szCs w:val="20"/>
                <w:lang w:val="en-US" w:eastAsia="zh-CN"/>
              </w:rPr>
            </w:pPr>
            <w:r>
              <w:rPr>
                <w:rFonts w:hint="eastAsia" w:ascii="仿宋_GB2312" w:hAnsi="等线" w:eastAsia="仿宋_GB2312" w:cs="宋体"/>
                <w:kern w:val="0"/>
                <w:sz w:val="20"/>
                <w:szCs w:val="20"/>
                <w:lang w:val="en-US" w:eastAsia="zh-CN"/>
              </w:rPr>
              <w:t>（4）集团内部招聘报名者，应具备本企业5年以上工作经历，其中纪检工作经历3年及以上，或者党建、法务、财务、审计、成本管理等相关工作经历5年及以上。</w:t>
            </w:r>
          </w:p>
          <w:p w14:paraId="39AA5D87">
            <w:pPr>
              <w:widowControl/>
              <w:jc w:val="left"/>
              <w:rPr>
                <w:rFonts w:hint="eastAsia" w:ascii="仿宋_GB2312" w:hAnsi="等线" w:eastAsia="仿宋_GB2312" w:cs="宋体"/>
                <w:kern w:val="0"/>
                <w:sz w:val="20"/>
                <w:szCs w:val="20"/>
                <w:lang w:val="en-US" w:eastAsia="zh-CN"/>
              </w:rPr>
            </w:pPr>
            <w:r>
              <w:rPr>
                <w:rFonts w:hint="eastAsia" w:ascii="仿宋_GB2312" w:hAnsi="等线" w:eastAsia="仿宋_GB2312" w:cs="宋体"/>
                <w:kern w:val="0"/>
                <w:sz w:val="20"/>
                <w:szCs w:val="20"/>
                <w:lang w:val="en-US" w:eastAsia="zh-CN"/>
              </w:rPr>
              <w:t>（5）社会公开招聘报名者，应具备累计5年以上国有企业、政府部门及事业单位工作经验。具备地方纪检监察机关（含派驻机构、巡视巡察机构）3年及以上工作经历；或在公安机关从事侦查工作3年及以上经历；或在检察院从事反贪、反渎、公诉工作3年及以上经历；或在法院从事审判工作3年及以上经历；或在上述机关工作经历累计满3年及以上者优先。</w:t>
            </w:r>
          </w:p>
          <w:p w14:paraId="27093648">
            <w:pPr>
              <w:widowControl/>
              <w:jc w:val="left"/>
              <w:rPr>
                <w:rFonts w:hint="eastAsia" w:ascii="仿宋_GB2312" w:hAnsi="等线" w:eastAsia="仿宋_GB2312" w:cs="宋体"/>
                <w:kern w:val="0"/>
                <w:sz w:val="20"/>
                <w:szCs w:val="20"/>
                <w:lang w:val="en-US" w:eastAsia="zh-CN"/>
              </w:rPr>
            </w:pPr>
            <w:r>
              <w:rPr>
                <w:rFonts w:hint="eastAsia" w:ascii="仿宋_GB2312" w:hAnsi="等线" w:eastAsia="仿宋_GB2312" w:cs="宋体"/>
                <w:kern w:val="0"/>
                <w:sz w:val="20"/>
                <w:szCs w:val="20"/>
                <w:lang w:val="en-US" w:eastAsia="zh-CN"/>
              </w:rPr>
              <w:t>（6）具备案件查办能力优先。</w:t>
            </w:r>
          </w:p>
          <w:p w14:paraId="3B76D087">
            <w:pPr>
              <w:widowControl/>
              <w:jc w:val="left"/>
              <w:rPr>
                <w:rFonts w:hint="eastAsia" w:ascii="仿宋_GB2312" w:hAnsi="等线" w:eastAsia="仿宋_GB2312" w:cs="宋体"/>
                <w:kern w:val="0"/>
                <w:sz w:val="20"/>
                <w:szCs w:val="20"/>
                <w:lang w:val="en-US" w:eastAsia="zh-CN"/>
              </w:rPr>
            </w:pPr>
            <w:r>
              <w:rPr>
                <w:rFonts w:hint="eastAsia" w:ascii="仿宋_GB2312" w:hAnsi="等线" w:eastAsia="仿宋_GB2312" w:cs="宋体"/>
                <w:kern w:val="0"/>
                <w:sz w:val="20"/>
                <w:szCs w:val="20"/>
                <w:lang w:val="en-US" w:eastAsia="zh-CN"/>
              </w:rPr>
              <w:t>（7）近5年年度考核均为称职（合格）及以上。</w:t>
            </w:r>
          </w:p>
          <w:p w14:paraId="435A072A">
            <w:pPr>
              <w:widowControl/>
              <w:jc w:val="left"/>
              <w:rPr>
                <w:rFonts w:hint="eastAsia" w:ascii="仿宋_GB2312" w:hAnsi="等线" w:eastAsia="仿宋_GB2312" w:cs="宋体"/>
                <w:kern w:val="0"/>
                <w:sz w:val="20"/>
                <w:szCs w:val="20"/>
                <w:lang w:val="en-US" w:eastAsia="zh-CN"/>
              </w:rPr>
            </w:pPr>
            <w:r>
              <w:rPr>
                <w:rFonts w:hint="eastAsia" w:ascii="仿宋_GB2312" w:hAnsi="等线" w:eastAsia="仿宋_GB2312" w:cs="宋体"/>
                <w:kern w:val="0"/>
                <w:sz w:val="20"/>
                <w:szCs w:val="20"/>
                <w:lang w:val="en-US" w:eastAsia="zh-CN"/>
              </w:rPr>
              <w:t>（8）特别优秀者可适当放宽。</w:t>
            </w:r>
          </w:p>
        </w:tc>
      </w:tr>
    </w:tbl>
    <w:p w14:paraId="22AC0B3E"/>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657FDF"/>
    <w:rsid w:val="01657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2025-11-06T08:24:00Z</dcterms:created>
  <dc:creator>周俊杰</dc:creator>
  <cp:lastModifiedBy>周俊杰</cp:lastModifiedBy>
  <dcterms:modified xsi:type="dcterms:W3CDTF">2025-11-06T08:25:57Z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54CD7B82491E4C938CAFA25167EF5294_11</vt:lpwstr>
  </property>
  <property fmtid="{D5CDD505-2E9C-101B-9397-08002B2CF9AE}" pid="4" name="KSOTemplateDocerSaveRecord">
    <vt:lpwstr>eyJoZGlkIjoiYWE5YmRmYWI1ZWJmN2ExNjkxNzQ5NDllYTcyYTViMDEiLCJ1c2VySWQiOiIxNDc3NjA2MTQwIn0=</vt:lpwstr>
  </property>
</Properties>
</file>