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2E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2</w:t>
      </w:r>
    </w:p>
    <w:p w14:paraId="26A0ADFE">
      <w:pPr>
        <w:pStyle w:val="4"/>
        <w:keepNext w:val="0"/>
        <w:keepLines w:val="0"/>
        <w:widowControl w:val="0"/>
        <w:suppressLineNumbers w:val="0"/>
        <w:tabs>
          <w:tab w:val="center" w:pos="4153"/>
          <w:tab w:val="right" w:pos="8306"/>
        </w:tabs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left"/>
        <w:rPr>
          <w:rFonts w:hint="eastAsia" w:ascii="Calibri" w:hAnsi="Calibri" w:eastAsia="宋体" w:cs="Times New Roman"/>
          <w:kern w:val="2"/>
          <w:sz w:val="18"/>
          <w:szCs w:val="18"/>
          <w:highlight w:val="none"/>
        </w:rPr>
      </w:pPr>
      <w:r>
        <w:rPr>
          <w:rFonts w:hint="eastAsia" w:ascii="Calibri" w:hAnsi="Calibri" w:eastAsia="宋体" w:cs="Times New Roman"/>
          <w:kern w:val="2"/>
          <w:sz w:val="18"/>
          <w:szCs w:val="18"/>
          <w:highlight w:val="none"/>
          <w:lang w:val="en-US" w:eastAsia="zh-CN" w:bidi="ar"/>
        </w:rPr>
        <w:t xml:space="preserve"> </w:t>
      </w:r>
    </w:p>
    <w:p w14:paraId="03479B32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  <w:t>福建海峡源脉温泉股份有限公司</w:t>
      </w:r>
      <w:bookmarkStart w:id="0" w:name="_GoBack"/>
      <w:bookmarkEnd w:id="0"/>
    </w:p>
    <w:p w14:paraId="24C3FFFD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5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5"/>
          <w:kern w:val="2"/>
          <w:sz w:val="44"/>
          <w:szCs w:val="44"/>
          <w:highlight w:val="none"/>
        </w:rPr>
        <w:t>市场化选聘副总经理报名登记表</w:t>
      </w:r>
    </w:p>
    <w:p w14:paraId="645AD5F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highlight w:val="none"/>
          <w:lang w:val="en-US" w:eastAsia="zh-CN" w:bidi="ar"/>
        </w:rPr>
        <w:t>（主要负责源脉、原汤及物业板块）</w:t>
      </w:r>
    </w:p>
    <w:p w14:paraId="2B1D0D04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kern w:val="2"/>
          <w:sz w:val="44"/>
          <w:szCs w:val="44"/>
          <w:highlight w:val="none"/>
        </w:rPr>
      </w:pPr>
    </w:p>
    <w:tbl>
      <w:tblPr>
        <w:tblStyle w:val="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81"/>
        <w:gridCol w:w="926"/>
        <w:gridCol w:w="162"/>
        <w:gridCol w:w="132"/>
        <w:gridCol w:w="6"/>
        <w:gridCol w:w="126"/>
        <w:gridCol w:w="583"/>
        <w:gridCol w:w="292"/>
        <w:gridCol w:w="17"/>
        <w:gridCol w:w="258"/>
        <w:gridCol w:w="278"/>
        <w:gridCol w:w="24"/>
        <w:gridCol w:w="251"/>
        <w:gridCol w:w="285"/>
        <w:gridCol w:w="70"/>
        <w:gridCol w:w="174"/>
        <w:gridCol w:w="28"/>
        <w:gridCol w:w="278"/>
        <w:gridCol w:w="166"/>
        <w:gridCol w:w="16"/>
        <w:gridCol w:w="91"/>
        <w:gridCol w:w="79"/>
        <w:gridCol w:w="198"/>
        <w:gridCol w:w="278"/>
        <w:gridCol w:w="278"/>
        <w:gridCol w:w="278"/>
        <w:gridCol w:w="124"/>
        <w:gridCol w:w="155"/>
        <w:gridCol w:w="93"/>
        <w:gridCol w:w="184"/>
        <w:gridCol w:w="279"/>
        <w:gridCol w:w="279"/>
        <w:gridCol w:w="279"/>
        <w:gridCol w:w="279"/>
        <w:gridCol w:w="310"/>
      </w:tblGrid>
      <w:tr w14:paraId="31E1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5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报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考</w:t>
            </w:r>
          </w:p>
          <w:p w14:paraId="4946D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位</w:t>
            </w:r>
          </w:p>
        </w:tc>
        <w:tc>
          <w:tcPr>
            <w:tcW w:w="3213" w:type="pct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1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37FC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210" w:leftChars="-100" w:right="-210" w:rightChars="-10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请贴二寸近期彩照</w:t>
            </w:r>
          </w:p>
        </w:tc>
      </w:tr>
      <w:tr w14:paraId="55532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名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E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B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别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B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D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出生年月</w:t>
            </w:r>
          </w:p>
          <w:p w14:paraId="24456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(  岁)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A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F015D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4190E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7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族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5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F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籍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贯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7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7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出生地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5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C4CD7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58D2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7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户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口</w:t>
            </w:r>
          </w:p>
          <w:p w14:paraId="57F38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所在地</w:t>
            </w:r>
          </w:p>
        </w:tc>
        <w:tc>
          <w:tcPr>
            <w:tcW w:w="7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5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5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政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治</w:t>
            </w:r>
          </w:p>
          <w:p w14:paraId="2AA8C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面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貌</w:t>
            </w:r>
          </w:p>
        </w:tc>
        <w:tc>
          <w:tcPr>
            <w:tcW w:w="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9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A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参加工</w:t>
            </w:r>
          </w:p>
          <w:p w14:paraId="006BF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2"/>
                <w:kern w:val="0"/>
                <w:sz w:val="24"/>
                <w:szCs w:val="24"/>
                <w:highlight w:val="none"/>
                <w:lang w:val="en-US" w:eastAsia="zh-CN" w:bidi="ar"/>
              </w:rPr>
              <w:t>作时间</w:t>
            </w:r>
          </w:p>
        </w:tc>
        <w:tc>
          <w:tcPr>
            <w:tcW w:w="6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F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gridSpan w:val="8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71BB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2E2F3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C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康</w:t>
            </w:r>
          </w:p>
          <w:p w14:paraId="78E8A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状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况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3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6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身份证</w:t>
            </w:r>
          </w:p>
          <w:p w14:paraId="1E1C2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号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码</w:t>
            </w:r>
          </w:p>
        </w:tc>
        <w:tc>
          <w:tcPr>
            <w:tcW w:w="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DAA7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79DC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9BC6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4EEE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AA7E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66FC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E0C4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63DA8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3316F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D01B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7AA19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20E68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5BF8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07175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5D992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18BA2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 w14:paraId="4478C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163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3E6D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3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D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distribute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专业技术职务任职资格或职(执)业资格</w:t>
            </w:r>
          </w:p>
        </w:tc>
        <w:tc>
          <w:tcPr>
            <w:tcW w:w="3586" w:type="pct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FB9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6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2" w:hRule="atLeast"/>
          <w:jc w:val="center"/>
        </w:trPr>
        <w:tc>
          <w:tcPr>
            <w:tcW w:w="6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A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外语语种及水平</w:t>
            </w:r>
          </w:p>
        </w:tc>
        <w:tc>
          <w:tcPr>
            <w:tcW w:w="202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B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C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计算机水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平</w:t>
            </w:r>
          </w:p>
        </w:tc>
        <w:tc>
          <w:tcPr>
            <w:tcW w:w="166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3D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84EC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687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A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  <w:p w14:paraId="53447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位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2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</w:p>
          <w:p w14:paraId="50AC0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育</w:t>
            </w:r>
          </w:p>
        </w:tc>
        <w:tc>
          <w:tcPr>
            <w:tcW w:w="6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4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8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毕业院校及专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</w:p>
        </w:tc>
        <w:tc>
          <w:tcPr>
            <w:tcW w:w="2287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1C2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87C3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87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250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D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职</w:t>
            </w:r>
          </w:p>
          <w:p w14:paraId="5BD38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育</w:t>
            </w:r>
          </w:p>
        </w:tc>
        <w:tc>
          <w:tcPr>
            <w:tcW w:w="6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E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毕业院校及专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</w:p>
        </w:tc>
        <w:tc>
          <w:tcPr>
            <w:tcW w:w="2287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B94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AA68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C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现工作单位及职务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D73C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4DE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6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现主管工作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BFEB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D5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5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现主管部门</w:t>
            </w:r>
          </w:p>
          <w:p w14:paraId="2AD19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及员工人数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4429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4DF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3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现工作单位隶属单位</w:t>
            </w:r>
          </w:p>
        </w:tc>
        <w:tc>
          <w:tcPr>
            <w:tcW w:w="187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F5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BE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隶属单位</w:t>
            </w:r>
          </w:p>
          <w:p w14:paraId="4ED814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9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E25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C142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0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767" w:type="pct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B0DF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BA36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2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12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3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3D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spacing w:val="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19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384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008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-105" w:leftChars="-50" w:right="-105" w:rightChars="-5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固定电话</w:t>
            </w:r>
          </w:p>
        </w:tc>
        <w:tc>
          <w:tcPr>
            <w:tcW w:w="112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1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F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移动电话</w:t>
            </w:r>
          </w:p>
        </w:tc>
        <w:tc>
          <w:tcPr>
            <w:tcW w:w="19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D25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C4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6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</w:t>
            </w:r>
          </w:p>
          <w:p w14:paraId="42FBC8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</w:p>
          <w:p w14:paraId="2C6DC1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单</w:t>
            </w:r>
          </w:p>
          <w:p w14:paraId="3BED96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位</w:t>
            </w:r>
          </w:p>
          <w:p w14:paraId="0D7BD71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1145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F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国有及国有控股企业</w:t>
            </w:r>
          </w:p>
          <w:p w14:paraId="727FF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)民营企业</w:t>
            </w:r>
          </w:p>
          <w:p w14:paraId="63FCA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)外资企业</w:t>
            </w:r>
          </w:p>
          <w:p w14:paraId="0858B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spacing w:val="1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)党政机关</w:t>
            </w:r>
          </w:p>
          <w:p w14:paraId="1FB76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spacing w:val="18"/>
                <w:kern w:val="0"/>
                <w:sz w:val="24"/>
                <w:szCs w:val="24"/>
                <w:highlight w:val="none"/>
                <w:lang w:val="en-US" w:eastAsia="zh-CN" w:bidi="ar"/>
              </w:rPr>
              <w:t>(  )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其它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7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任职企业有关信息</w:t>
            </w: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5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注册名称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66F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619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F1F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673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4F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0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主营业务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BD9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F27D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F2F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D22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DD3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9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所属行业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BAA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AD0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83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092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5A3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2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" w:right="0" w:hanging="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2024年底资产总额（万元）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AA4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BDF7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22D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01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52CB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5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50" w:firstLineChars="21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2024年度销售额（万元）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89F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4854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3F1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8EB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E5B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B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24年底从业人数</w:t>
            </w:r>
          </w:p>
        </w:tc>
        <w:tc>
          <w:tcPr>
            <w:tcW w:w="2182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B2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1C8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71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现工作单位简要介绍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1FF44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（200字以内）</w:t>
            </w:r>
          </w:p>
        </w:tc>
      </w:tr>
      <w:tr w14:paraId="17711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5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</w:p>
          <w:p w14:paraId="2911C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育</w:t>
            </w:r>
          </w:p>
          <w:p w14:paraId="4006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经</w:t>
            </w:r>
          </w:p>
          <w:p w14:paraId="12077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9DFA2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自大、中专院校学习时间开始填写)</w:t>
            </w:r>
          </w:p>
          <w:p w14:paraId="4972E9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color w:val="FF0000"/>
                <w:w w:val="9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起止年月、院校、院系/专业、毕业/结业/肄业、学历、学位、全日制/在职</w:t>
            </w:r>
          </w:p>
        </w:tc>
      </w:tr>
      <w:tr w14:paraId="1773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培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训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经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F552B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起止年月、培训机构、培训专业/内容、成绩/证书</w:t>
            </w:r>
          </w:p>
          <w:p w14:paraId="747B92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35FA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5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经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历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2ED4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 w:firstLine="1440" w:firstLineChars="60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(自参加工作时间开始填写至今，时间要连贯)</w:t>
            </w:r>
          </w:p>
          <w:p w14:paraId="4169B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atLeast"/>
              <w:ind w:left="0" w:right="0"/>
              <w:jc w:val="both"/>
              <w:rPr>
                <w:rFonts w:hint="eastAsia" w:ascii="仿宋_GB2312" w:hAnsi="宋体" w:eastAsia="仿宋_GB2312" w:cs="Times New Roman"/>
                <w:spacing w:val="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起止年月、单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位、部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门、职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务、工作内容、证明人姓名及电话</w:t>
            </w:r>
          </w:p>
        </w:tc>
      </w:tr>
      <w:tr w14:paraId="38B55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3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主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要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业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绩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9ED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（本人在工作中取得的突出业绩、主持的重大项目及影响）</w:t>
            </w:r>
          </w:p>
        </w:tc>
      </w:tr>
      <w:tr w14:paraId="20B06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80F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奖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惩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情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况</w:t>
            </w:r>
          </w:p>
        </w:tc>
        <w:tc>
          <w:tcPr>
            <w:tcW w:w="4655" w:type="pct"/>
            <w:gridSpan w:val="3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60B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（本人在工作中获得的省市级以上奖励，请注明获奖项目内容、等级、排名等）</w:t>
            </w:r>
          </w:p>
        </w:tc>
      </w:tr>
    </w:tbl>
    <w:p w14:paraId="72967189">
      <w:pPr>
        <w:pStyle w:val="4"/>
        <w:keepNext w:val="0"/>
        <w:keepLines w:val="0"/>
        <w:widowControl w:val="0"/>
        <w:suppressLineNumbers w:val="0"/>
        <w:tabs>
          <w:tab w:val="center" w:pos="4153"/>
          <w:tab w:val="right" w:pos="8306"/>
        </w:tabs>
        <w:snapToGrid w:val="0"/>
        <w:spacing w:before="0" w:beforeAutospacing="0" w:after="0" w:afterAutospacing="0"/>
        <w:ind w:left="0" w:right="0"/>
        <w:jc w:val="left"/>
        <w:rPr>
          <w:rFonts w:hint="default" w:ascii="Calibri" w:hAnsi="Calibri" w:eastAsia="宋体" w:cs="Times New Roman"/>
          <w:kern w:val="2"/>
          <w:sz w:val="18"/>
          <w:szCs w:val="18"/>
          <w:highlight w:val="none"/>
        </w:rPr>
      </w:pPr>
      <w:r>
        <w:rPr>
          <w:rFonts w:hint="default" w:ascii="Calibri" w:hAnsi="Calibri" w:eastAsia="宋体" w:cs="Times New Roman"/>
          <w:kern w:val="2"/>
          <w:sz w:val="18"/>
          <w:szCs w:val="18"/>
          <w:highlight w:val="none"/>
          <w:lang w:val="en-US" w:eastAsia="zh-CN" w:bidi="ar"/>
        </w:rPr>
        <w:t xml:space="preserve"> </w:t>
      </w:r>
    </w:p>
    <w:tbl>
      <w:tblPr>
        <w:tblStyle w:val="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85"/>
      </w:tblGrid>
      <w:tr w14:paraId="3AA49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34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E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自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我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评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价</w:t>
            </w:r>
          </w:p>
        </w:tc>
        <w:tc>
          <w:tcPr>
            <w:tcW w:w="4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A7F7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（300字以内，含德、能、勤、绩、廉、政治素质、主要不足等）</w:t>
            </w:r>
          </w:p>
        </w:tc>
      </w:tr>
      <w:tr w14:paraId="00A51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36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tbl>
            <w:tblPr>
              <w:tblStyle w:val="5"/>
              <w:tblW w:w="9125" w:type="dxa"/>
              <w:tblInd w:w="1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 w14:paraId="7CD6AC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306A9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家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庭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主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成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员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及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要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关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91195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称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FE857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C0670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FA0BA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F41D5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政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治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面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10C2A64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工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作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单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位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及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职</w:t>
                  </w:r>
                  <w:r>
                    <w:rPr>
                      <w:rFonts w:hint="default" w:ascii="Calibri" w:hAnsi="Calibri" w:eastAsia="宋体" w:cs="Times New Roman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务</w:t>
                  </w:r>
                </w:p>
              </w:tc>
            </w:tr>
            <w:tr w14:paraId="7D24BF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FBD25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C1879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AE66E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992A7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D7448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6049E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79977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24FC2B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1C73C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0E51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357E6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03A1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F6D0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3930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5B7402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2117D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5D83D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B781B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171CB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EB3BA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ED794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2455E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650D48A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7AB6E2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B1F5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C0DDD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28100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BA9A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6B3B4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A0A4C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764C552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216B81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11101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3FEE6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48B772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7D583F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17CD1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DED88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2F956CEB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4FD33A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2C62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92AEE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90BB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C39E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3B7B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201A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F7D1A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63D652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DEDA3C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5492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E36AA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A6F4D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C993F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3E728C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50B6A01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41F35A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530D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18651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A664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591BE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7B0D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6CB85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789D009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5C3A57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DA6E9B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EFA34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A4A79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A80BFD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2EC553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E82EE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23BB2DF0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35C07C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1BD69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CE554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5D9A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7ED8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FB70E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001CA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428FC9F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　</w:t>
                  </w:r>
                </w:p>
              </w:tc>
            </w:tr>
            <w:tr w14:paraId="4BF94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62BBDE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D0B3C6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9FE6FA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F0DA37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8BEA84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42FF18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 w14:paraId="1A9D82A9">
                  <w:pPr>
                    <w:rPr>
                      <w:rFonts w:hint="default"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 w14:paraId="47FB3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FA2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6EA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备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注</w:t>
            </w:r>
          </w:p>
        </w:tc>
        <w:tc>
          <w:tcPr>
            <w:tcW w:w="4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ED1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177F8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E748F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4" w:firstLineChars="147"/>
        <w:jc w:val="both"/>
        <w:rPr>
          <w:rFonts w:hint="eastAsia" w:ascii="仿宋_GB2312" w:hAnsi="Calibri" w:eastAsia="仿宋_GB2312" w:cs="Times New Roman"/>
          <w:b/>
          <w:bCs w:val="0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b/>
          <w:bCs w:val="0"/>
          <w:kern w:val="0"/>
          <w:sz w:val="24"/>
          <w:szCs w:val="24"/>
          <w:highlight w:val="none"/>
          <w:lang w:val="en-US" w:eastAsia="zh-CN" w:bidi="ar"/>
        </w:rPr>
        <w:t>说明：</w:t>
      </w:r>
    </w:p>
    <w:p w14:paraId="1E0A44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1．项目中若有某项要求不符合您本人情况，可以不填写。</w:t>
      </w:r>
    </w:p>
    <w:p w14:paraId="3CFEBB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2．“健康状况”栏根据本人的具体情况填写“健康”“一般”或“较差”；有严重疾病、慢性疾病或身体伤残的，要如实填写。</w:t>
      </w:r>
    </w:p>
    <w:p w14:paraId="621AB5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3.“现工作单位隶属单位”栏填写现工作单位的上一级部门或单位，如没有则填写“无”。</w:t>
      </w:r>
    </w:p>
    <w:p w14:paraId="087E27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仿宋_GB2312" w:hAnsi="Calibri" w:eastAsia="仿宋_GB2312" w:cs="仿宋_GB2312"/>
          <w:kern w:val="0"/>
          <w:sz w:val="24"/>
          <w:szCs w:val="24"/>
          <w:highlight w:val="none"/>
          <w:lang w:val="en-US" w:eastAsia="zh-CN" w:bidi="ar"/>
        </w:rPr>
        <w:t>4.表中有关项目，需进一步详细说明的，可在“备注”栏里注明。</w:t>
      </w:r>
    </w:p>
    <w:p w14:paraId="35471419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4E9D"/>
    <w:rsid w:val="3BD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2025-11-19T07:41:00Z</dcterms:created>
  <dc:creator>小猫猫</dc:creator>
  <cp:lastModifiedBy>小猫猫</cp:lastModifiedBy>
  <dcterms:modified xsi:type="dcterms:W3CDTF">2025-11-19T07:44:09Z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C935721E16E046F4B5402C1ADAC5E91F_11</vt:lpwstr>
  </property>
  <property fmtid="{D5CDD505-2E9C-101B-9397-08002B2CF9AE}" pid="4" name="KSOTemplateDocerSaveRecord">
    <vt:lpwstr>eyJoZGlkIjoiMmNhMzQ1NTcwNDA2NmZmY2Q5MGQ4NGYzMTczZmM2ZGYiLCJ1c2VySWQiOiIzMzg3MzYyMDMifQ==</vt:lpwstr>
  </property>
</Properties>
</file>