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04B05">
      <w:pPr>
        <w:rPr>
          <w:rFonts w:hint="eastAsia" w:ascii="黑体" w:hAnsi="黑体" w:eastAsia="黑体" w:cs="黑体"/>
          <w:b w:val="0"/>
          <w:bCs w:val="0"/>
          <w:sz w:val="32"/>
          <w:szCs w:val="32"/>
          <w:lang w:eastAsia="zh-CN"/>
        </w:rPr>
      </w:pPr>
      <w:bookmarkStart w:id="2" w:name="_GoBack"/>
      <w:bookmarkEnd w:id="2"/>
    </w:p>
    <w:p w14:paraId="2F067F7C">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14:paraId="353DF74E">
      <w:pPr>
        <w:pStyle w:val="6"/>
        <w:rPr>
          <w:rFonts w:hint="eastAsia"/>
          <w:lang w:val="en-US" w:eastAsia="zh-CN"/>
        </w:rPr>
      </w:pPr>
    </w:p>
    <w:p w14:paraId="53164BBA">
      <w:pPr>
        <w:jc w:val="center"/>
        <w:rPr>
          <w:rFonts w:hint="eastAsia" w:ascii="黑体" w:hAnsi="黑体" w:eastAsia="黑体" w:cs="黑体"/>
          <w:b w:val="0"/>
          <w:bCs w:val="0"/>
          <w:color w:val="000000" w:themeColor="text1"/>
          <w:sz w:val="44"/>
          <w:szCs w:val="44"/>
          <w14:textFill>
            <w14:solidFill>
              <w14:schemeClr w14:val="tx1"/>
            </w14:solidFill>
          </w14:textFill>
        </w:rPr>
      </w:pPr>
      <w:r>
        <w:rPr>
          <w:rFonts w:hint="eastAsia" w:ascii="黑体" w:hAnsi="黑体" w:eastAsia="黑体" w:cs="黑体"/>
          <w:b w:val="0"/>
          <w:bCs w:val="0"/>
          <w:color w:val="000000" w:themeColor="text1"/>
          <w:sz w:val="44"/>
          <w:szCs w:val="44"/>
          <w:lang w:eastAsia="zh-CN"/>
          <w14:textFill>
            <w14:solidFill>
              <w14:schemeClr w14:val="tx1"/>
            </w14:solidFill>
          </w14:textFill>
        </w:rPr>
        <w:t>襄阳</w:t>
      </w:r>
      <w:r>
        <w:rPr>
          <w:rFonts w:hint="eastAsia" w:ascii="黑体" w:hAnsi="黑体" w:eastAsia="黑体" w:cs="黑体"/>
          <w:b w:val="0"/>
          <w:bCs w:val="0"/>
          <w:color w:val="000000" w:themeColor="text1"/>
          <w:sz w:val="44"/>
          <w:szCs w:val="44"/>
          <w14:textFill>
            <w14:solidFill>
              <w14:schemeClr w14:val="tx1"/>
            </w14:solidFill>
          </w14:textFill>
        </w:rPr>
        <w:t>市应急管理专家申报表</w:t>
      </w:r>
    </w:p>
    <w:p w14:paraId="3F3531E1">
      <w:pPr>
        <w:pStyle w:val="6"/>
        <w:rPr>
          <w:rFonts w:hint="eastAsia"/>
        </w:rPr>
      </w:pPr>
    </w:p>
    <w:p w14:paraId="71A1E2E2">
      <w:pPr>
        <w:keepNext w:val="0"/>
        <w:keepLines w:val="0"/>
        <w:pageBreakBefore w:val="0"/>
        <w:kinsoku/>
        <w:wordWrap/>
        <w:overflowPunct/>
        <w:topLinePunct w:val="0"/>
        <w:autoSpaceDE/>
        <w:autoSpaceDN/>
        <w:bidi w:val="0"/>
        <w:adjustRightInd/>
        <w:snapToGrid/>
        <w:spacing w:beforeLines="0" w:afterLines="0" w:line="400" w:lineRule="exact"/>
        <w:ind w:left="0" w:leftChars="0"/>
        <w:textAlignment w:val="auto"/>
        <w:rPr>
          <w:rFonts w:hint="eastAsia"/>
        </w:rPr>
      </w:pPr>
      <w:r>
        <w:rPr>
          <w:rFonts w:hint="eastAsia"/>
          <w:color w:val="auto"/>
          <w:sz w:val="24"/>
        </w:rPr>
        <w:t>推荐单位：                             申报日期：</w:t>
      </w:r>
      <w:r>
        <w:rPr>
          <w:rFonts w:hint="eastAsia"/>
          <w:color w:val="auto"/>
          <w:sz w:val="24"/>
          <w:lang w:eastAsia="zh-CN"/>
        </w:rPr>
        <w:t xml:space="preserve"> </w:t>
      </w:r>
      <w:r>
        <w:rPr>
          <w:rFonts w:hint="eastAsia"/>
          <w:color w:val="auto"/>
          <w:sz w:val="24"/>
          <w:lang w:val="en-US" w:eastAsia="zh-CN"/>
        </w:rPr>
        <w:t xml:space="preserve">       </w:t>
      </w:r>
      <w:r>
        <w:rPr>
          <w:rFonts w:hint="eastAsia"/>
          <w:color w:val="auto"/>
          <w:sz w:val="24"/>
        </w:rPr>
        <w:t>年</w:t>
      </w:r>
      <w:r>
        <w:rPr>
          <w:rFonts w:hint="eastAsia"/>
          <w:color w:val="auto"/>
          <w:sz w:val="24"/>
          <w:lang w:eastAsia="zh-CN"/>
        </w:rPr>
        <w:t xml:space="preserve"> </w:t>
      </w:r>
      <w:r>
        <w:rPr>
          <w:rFonts w:hint="eastAsia"/>
          <w:color w:val="auto"/>
          <w:sz w:val="24"/>
          <w:lang w:val="en-US" w:eastAsia="zh-CN"/>
        </w:rPr>
        <w:t xml:space="preserve">  </w:t>
      </w:r>
      <w:r>
        <w:rPr>
          <w:rFonts w:hint="eastAsia"/>
          <w:color w:val="auto"/>
          <w:sz w:val="24"/>
        </w:rPr>
        <w:t>月</w:t>
      </w:r>
      <w:r>
        <w:rPr>
          <w:rFonts w:hint="eastAsia"/>
          <w:color w:val="auto"/>
          <w:sz w:val="24"/>
          <w:lang w:eastAsia="zh-CN"/>
        </w:rPr>
        <w:t xml:space="preserve"> </w:t>
      </w:r>
      <w:r>
        <w:rPr>
          <w:rFonts w:hint="eastAsia"/>
          <w:color w:val="auto"/>
          <w:sz w:val="24"/>
          <w:lang w:val="en-US" w:eastAsia="zh-CN"/>
        </w:rPr>
        <w:t xml:space="preserve">  </w:t>
      </w:r>
      <w:r>
        <w:rPr>
          <w:rFonts w:hint="eastAsia"/>
          <w:color w:val="auto"/>
          <w:sz w:val="24"/>
        </w:rPr>
        <w:t>日</w:t>
      </w:r>
    </w:p>
    <w:tbl>
      <w:tblPr>
        <w:tblStyle w:val="4"/>
        <w:tblW w:w="8634" w:type="dxa"/>
        <w:jc w:val="center"/>
        <w:tblLayout w:type="fixed"/>
        <w:tblCellMar>
          <w:top w:w="0" w:type="dxa"/>
          <w:left w:w="0" w:type="dxa"/>
          <w:bottom w:w="0" w:type="dxa"/>
          <w:right w:w="0" w:type="dxa"/>
        </w:tblCellMar>
      </w:tblPr>
      <w:tblGrid>
        <w:gridCol w:w="1182"/>
        <w:gridCol w:w="636"/>
        <w:gridCol w:w="488"/>
        <w:gridCol w:w="878"/>
        <w:gridCol w:w="714"/>
        <w:gridCol w:w="1362"/>
        <w:gridCol w:w="1688"/>
        <w:gridCol w:w="1686"/>
      </w:tblGrid>
      <w:tr w14:paraId="0FC632E8">
        <w:tblPrEx>
          <w:tblCellMar>
            <w:top w:w="0" w:type="dxa"/>
            <w:left w:w="0" w:type="dxa"/>
            <w:bottom w:w="0" w:type="dxa"/>
            <w:right w:w="0" w:type="dxa"/>
          </w:tblCellMar>
        </w:tblPrEx>
        <w:trPr>
          <w:trHeight w:val="454" w:hRule="atLeast"/>
          <w:jc w:val="center"/>
        </w:trPr>
        <w:tc>
          <w:tcPr>
            <w:tcW w:w="1182" w:type="dxa"/>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313436EA">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center"/>
              <w:textAlignment w:val="auto"/>
              <w:rPr>
                <w:rFonts w:hint="eastAsia" w:ascii="宋体" w:hAnsi="宋体" w:cs="宋体"/>
                <w:color w:val="auto"/>
                <w:kern w:val="0"/>
                <w:sz w:val="24"/>
              </w:rPr>
            </w:pPr>
            <w:r>
              <w:rPr>
                <w:rFonts w:hint="eastAsia" w:ascii="宋体" w:hAnsi="宋体" w:cs="宋体"/>
                <w:color w:val="auto"/>
                <w:kern w:val="0"/>
                <w:sz w:val="24"/>
              </w:rPr>
              <w:t>姓名</w:t>
            </w:r>
          </w:p>
        </w:tc>
        <w:tc>
          <w:tcPr>
            <w:tcW w:w="1124" w:type="dxa"/>
            <w:gridSpan w:val="2"/>
            <w:tcBorders>
              <w:top w:val="single" w:color="000000" w:sz="8"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F358397">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center"/>
              <w:textAlignment w:val="auto"/>
              <w:rPr>
                <w:rFonts w:hint="eastAsia" w:ascii="宋体" w:hAnsi="宋体" w:cs="宋体"/>
                <w:color w:val="auto"/>
                <w:kern w:val="0"/>
                <w:sz w:val="24"/>
              </w:rPr>
            </w:pPr>
          </w:p>
        </w:tc>
        <w:tc>
          <w:tcPr>
            <w:tcW w:w="878" w:type="dxa"/>
            <w:tcBorders>
              <w:top w:val="single" w:color="000000" w:sz="8"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44ADA18">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center"/>
              <w:textAlignment w:val="auto"/>
              <w:rPr>
                <w:rFonts w:hint="eastAsia" w:ascii="宋体" w:hAnsi="宋体" w:cs="宋体"/>
                <w:color w:val="auto"/>
                <w:kern w:val="0"/>
                <w:sz w:val="24"/>
              </w:rPr>
            </w:pPr>
            <w:r>
              <w:rPr>
                <w:rFonts w:hint="eastAsia" w:ascii="宋体" w:hAnsi="宋体" w:cs="宋体"/>
                <w:color w:val="auto"/>
                <w:kern w:val="0"/>
                <w:sz w:val="24"/>
              </w:rPr>
              <w:t>性别</w:t>
            </w:r>
          </w:p>
        </w:tc>
        <w:tc>
          <w:tcPr>
            <w:tcW w:w="714" w:type="dxa"/>
            <w:tcBorders>
              <w:top w:val="single" w:color="000000" w:sz="8"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15E346F">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center"/>
              <w:textAlignment w:val="auto"/>
              <w:rPr>
                <w:rFonts w:hint="eastAsia" w:ascii="宋体" w:hAnsi="宋体" w:cs="宋体"/>
                <w:color w:val="auto"/>
                <w:kern w:val="0"/>
                <w:sz w:val="24"/>
              </w:rPr>
            </w:pPr>
          </w:p>
        </w:tc>
        <w:tc>
          <w:tcPr>
            <w:tcW w:w="1362" w:type="dxa"/>
            <w:tcBorders>
              <w:top w:val="single" w:color="000000" w:sz="8" w:space="0"/>
              <w:left w:val="single" w:color="000000" w:sz="6" w:space="0"/>
              <w:bottom w:val="single" w:color="000000" w:sz="6" w:space="0"/>
              <w:right w:val="single" w:color="auto" w:sz="4" w:space="0"/>
            </w:tcBorders>
            <w:noWrap w:val="0"/>
            <w:tcMar>
              <w:top w:w="0" w:type="dxa"/>
              <w:left w:w="108" w:type="dxa"/>
              <w:bottom w:w="0" w:type="dxa"/>
              <w:right w:w="108" w:type="dxa"/>
            </w:tcMar>
            <w:vAlign w:val="center"/>
          </w:tcPr>
          <w:p w14:paraId="2CA9247E">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center"/>
              <w:textAlignment w:val="auto"/>
              <w:rPr>
                <w:rFonts w:hint="eastAsia" w:ascii="宋体" w:hAnsi="宋体" w:cs="宋体"/>
                <w:color w:val="auto"/>
                <w:kern w:val="0"/>
                <w:sz w:val="24"/>
              </w:rPr>
            </w:pPr>
            <w:r>
              <w:rPr>
                <w:rFonts w:hint="eastAsia" w:ascii="宋体" w:hAnsi="宋体" w:cs="宋体"/>
                <w:color w:val="auto"/>
                <w:kern w:val="0"/>
                <w:sz w:val="24"/>
              </w:rPr>
              <w:t>出生</w:t>
            </w:r>
          </w:p>
          <w:p w14:paraId="7449284E">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center"/>
              <w:textAlignment w:val="auto"/>
              <w:rPr>
                <w:rFonts w:hint="eastAsia" w:ascii="宋体" w:hAnsi="宋体" w:cs="宋体"/>
                <w:color w:val="auto"/>
                <w:kern w:val="0"/>
                <w:sz w:val="24"/>
              </w:rPr>
            </w:pPr>
            <w:r>
              <w:rPr>
                <w:rFonts w:hint="eastAsia" w:ascii="宋体" w:hAnsi="宋体" w:cs="宋体"/>
                <w:color w:val="auto"/>
                <w:kern w:val="0"/>
                <w:sz w:val="24"/>
              </w:rPr>
              <w:t>年月</w:t>
            </w:r>
          </w:p>
        </w:tc>
        <w:tc>
          <w:tcPr>
            <w:tcW w:w="1688" w:type="dxa"/>
            <w:tcBorders>
              <w:top w:val="single" w:color="000000" w:sz="8" w:space="0"/>
              <w:left w:val="single" w:color="auto" w:sz="4" w:space="0"/>
              <w:bottom w:val="single" w:color="000000" w:sz="6" w:space="0"/>
              <w:right w:val="single" w:color="000000" w:sz="6" w:space="0"/>
            </w:tcBorders>
            <w:noWrap w:val="0"/>
            <w:tcMar>
              <w:top w:w="0" w:type="dxa"/>
              <w:left w:w="108" w:type="dxa"/>
              <w:bottom w:w="0" w:type="dxa"/>
              <w:right w:w="108" w:type="dxa"/>
            </w:tcMar>
            <w:vAlign w:val="center"/>
          </w:tcPr>
          <w:p w14:paraId="70BCBAAD">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p>
        </w:tc>
        <w:tc>
          <w:tcPr>
            <w:tcW w:w="1686" w:type="dxa"/>
            <w:vMerge w:val="restart"/>
            <w:tcBorders>
              <w:top w:val="single" w:color="000000" w:sz="8" w:space="0"/>
              <w:left w:val="single" w:color="000000" w:sz="6" w:space="0"/>
              <w:bottom w:val="single" w:color="000000" w:sz="4" w:space="0"/>
              <w:right w:val="single" w:color="000000" w:sz="8" w:space="0"/>
            </w:tcBorders>
            <w:noWrap w:val="0"/>
            <w:tcMar>
              <w:top w:w="0" w:type="dxa"/>
              <w:left w:w="108" w:type="dxa"/>
              <w:bottom w:w="0" w:type="dxa"/>
              <w:right w:w="108" w:type="dxa"/>
            </w:tcMar>
            <w:vAlign w:val="center"/>
          </w:tcPr>
          <w:p w14:paraId="017140AF">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240" w:firstLineChars="100"/>
              <w:jc w:val="both"/>
              <w:textAlignment w:val="auto"/>
              <w:rPr>
                <w:rFonts w:hint="eastAsia" w:ascii="宋体" w:hAnsi="宋体" w:cs="宋体"/>
                <w:color w:val="auto"/>
                <w:kern w:val="0"/>
                <w:sz w:val="24"/>
                <w:lang w:eastAsia="zh-CN"/>
              </w:rPr>
            </w:pPr>
            <w:r>
              <w:rPr>
                <w:rFonts w:hint="eastAsia" w:ascii="宋体" w:hAnsi="宋体" w:cs="宋体"/>
                <w:color w:val="auto"/>
                <w:kern w:val="0"/>
                <w:sz w:val="24"/>
                <w:lang w:eastAsia="zh-CN"/>
              </w:rPr>
              <w:t>一寸近期</w:t>
            </w:r>
          </w:p>
          <w:p w14:paraId="3CBDF17A">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240" w:firstLineChars="100"/>
              <w:jc w:val="both"/>
              <w:textAlignment w:val="auto"/>
              <w:rPr>
                <w:rFonts w:hint="eastAsia" w:ascii="宋体" w:hAnsi="宋体" w:cs="宋体"/>
                <w:color w:val="auto"/>
                <w:kern w:val="0"/>
                <w:sz w:val="24"/>
              </w:rPr>
            </w:pPr>
            <w:r>
              <w:rPr>
                <w:rFonts w:hint="eastAsia" w:ascii="宋体" w:hAnsi="宋体" w:cs="宋体"/>
                <w:color w:val="auto"/>
                <w:kern w:val="0"/>
                <w:sz w:val="24"/>
                <w:lang w:eastAsia="zh-CN"/>
              </w:rPr>
              <w:t>免冠</w:t>
            </w:r>
            <w:r>
              <w:rPr>
                <w:rFonts w:hint="eastAsia" w:ascii="宋体" w:hAnsi="宋体" w:cs="宋体"/>
                <w:color w:val="auto"/>
                <w:kern w:val="0"/>
                <w:sz w:val="24"/>
              </w:rPr>
              <w:t>照片</w:t>
            </w:r>
          </w:p>
        </w:tc>
      </w:tr>
      <w:tr w14:paraId="00C347B9">
        <w:tblPrEx>
          <w:tblCellMar>
            <w:top w:w="0" w:type="dxa"/>
            <w:left w:w="0" w:type="dxa"/>
            <w:bottom w:w="0" w:type="dxa"/>
            <w:right w:w="0" w:type="dxa"/>
          </w:tblCellMar>
        </w:tblPrEx>
        <w:trPr>
          <w:trHeight w:val="454" w:hRule="atLeast"/>
          <w:jc w:val="center"/>
        </w:trPr>
        <w:tc>
          <w:tcPr>
            <w:tcW w:w="1182" w:type="dxa"/>
            <w:tcBorders>
              <w:top w:val="single" w:color="000000" w:sz="6" w:space="0"/>
              <w:left w:val="single" w:color="000000" w:sz="8" w:space="0"/>
              <w:bottom w:val="single" w:color="auto" w:sz="4" w:space="0"/>
              <w:right w:val="single" w:color="000000" w:sz="6" w:space="0"/>
            </w:tcBorders>
            <w:noWrap w:val="0"/>
            <w:tcMar>
              <w:top w:w="0" w:type="dxa"/>
              <w:left w:w="108" w:type="dxa"/>
              <w:bottom w:w="0" w:type="dxa"/>
              <w:right w:w="108" w:type="dxa"/>
            </w:tcMar>
            <w:vAlign w:val="center"/>
          </w:tcPr>
          <w:p w14:paraId="10B0B191">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center"/>
              <w:textAlignment w:val="auto"/>
              <w:rPr>
                <w:rFonts w:hint="eastAsia" w:ascii="宋体" w:hAnsi="宋体" w:cs="宋体"/>
                <w:color w:val="auto"/>
                <w:kern w:val="0"/>
                <w:sz w:val="24"/>
              </w:rPr>
            </w:pPr>
            <w:r>
              <w:rPr>
                <w:rFonts w:hint="eastAsia" w:ascii="宋体" w:hAnsi="宋体" w:cs="宋体"/>
                <w:color w:val="auto"/>
                <w:kern w:val="0"/>
                <w:sz w:val="24"/>
              </w:rPr>
              <w:t>政治</w:t>
            </w:r>
          </w:p>
          <w:p w14:paraId="5FF1EDF7">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center"/>
              <w:textAlignment w:val="auto"/>
              <w:rPr>
                <w:rFonts w:hint="eastAsia" w:ascii="宋体" w:hAnsi="宋体" w:cs="宋体"/>
                <w:color w:val="auto"/>
                <w:kern w:val="0"/>
                <w:sz w:val="24"/>
              </w:rPr>
            </w:pPr>
            <w:r>
              <w:rPr>
                <w:rFonts w:hint="eastAsia" w:ascii="宋体" w:hAnsi="宋体" w:cs="宋体"/>
                <w:color w:val="auto"/>
                <w:kern w:val="0"/>
                <w:sz w:val="24"/>
              </w:rPr>
              <w:t>面貌</w:t>
            </w:r>
          </w:p>
        </w:tc>
        <w:tc>
          <w:tcPr>
            <w:tcW w:w="2716" w:type="dxa"/>
            <w:gridSpan w:val="4"/>
            <w:tcBorders>
              <w:top w:val="single" w:color="000000" w:sz="6"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14:paraId="2DAB30C6">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center"/>
              <w:textAlignment w:val="auto"/>
              <w:rPr>
                <w:rFonts w:hint="eastAsia" w:ascii="宋体" w:hAnsi="宋体" w:cs="宋体"/>
                <w:color w:val="auto"/>
                <w:kern w:val="0"/>
                <w:sz w:val="24"/>
              </w:rPr>
            </w:pPr>
          </w:p>
        </w:tc>
        <w:tc>
          <w:tcPr>
            <w:tcW w:w="1362" w:type="dxa"/>
            <w:tcBorders>
              <w:top w:val="single" w:color="000000" w:sz="6" w:space="0"/>
              <w:left w:val="single" w:color="000000" w:sz="6" w:space="0"/>
              <w:bottom w:val="single" w:color="auto" w:sz="4" w:space="0"/>
              <w:right w:val="single" w:color="auto" w:sz="4" w:space="0"/>
            </w:tcBorders>
            <w:noWrap w:val="0"/>
            <w:tcMar>
              <w:top w:w="0" w:type="dxa"/>
              <w:left w:w="108" w:type="dxa"/>
              <w:bottom w:w="0" w:type="dxa"/>
              <w:right w:w="108" w:type="dxa"/>
            </w:tcMar>
            <w:vAlign w:val="center"/>
          </w:tcPr>
          <w:p w14:paraId="71F7D777">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center"/>
              <w:textAlignment w:val="auto"/>
              <w:rPr>
                <w:rFonts w:hint="eastAsia" w:ascii="宋体" w:hAnsi="宋体" w:cs="宋体"/>
                <w:color w:val="auto"/>
                <w:kern w:val="0"/>
                <w:sz w:val="24"/>
              </w:rPr>
            </w:pPr>
            <w:r>
              <w:rPr>
                <w:rFonts w:hint="eastAsia" w:ascii="宋体" w:hAnsi="宋体" w:cs="宋体"/>
                <w:color w:val="auto"/>
                <w:kern w:val="0"/>
                <w:sz w:val="24"/>
              </w:rPr>
              <w:t>民族</w:t>
            </w:r>
          </w:p>
        </w:tc>
        <w:tc>
          <w:tcPr>
            <w:tcW w:w="1688" w:type="dxa"/>
            <w:tcBorders>
              <w:top w:val="single" w:color="000000" w:sz="6" w:space="0"/>
              <w:left w:val="single" w:color="auto" w:sz="4" w:space="0"/>
              <w:bottom w:val="single" w:color="auto" w:sz="4" w:space="0"/>
              <w:right w:val="single" w:color="000000" w:sz="6" w:space="0"/>
            </w:tcBorders>
            <w:noWrap w:val="0"/>
            <w:tcMar>
              <w:top w:w="0" w:type="dxa"/>
              <w:left w:w="108" w:type="dxa"/>
              <w:bottom w:w="0" w:type="dxa"/>
              <w:right w:w="108" w:type="dxa"/>
            </w:tcMar>
            <w:vAlign w:val="center"/>
          </w:tcPr>
          <w:p w14:paraId="24B31CB8">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p>
        </w:tc>
        <w:tc>
          <w:tcPr>
            <w:tcW w:w="1686" w:type="dxa"/>
            <w:vMerge w:val="continue"/>
            <w:tcBorders>
              <w:top w:val="single" w:color="000000" w:sz="8" w:space="0"/>
              <w:left w:val="single" w:color="000000" w:sz="6" w:space="0"/>
              <w:bottom w:val="single" w:color="000000" w:sz="4" w:space="0"/>
              <w:right w:val="single" w:color="000000" w:sz="8" w:space="0"/>
            </w:tcBorders>
            <w:noWrap w:val="0"/>
            <w:tcMar>
              <w:top w:w="0" w:type="dxa"/>
              <w:left w:w="108" w:type="dxa"/>
              <w:bottom w:w="0" w:type="dxa"/>
              <w:right w:w="108" w:type="dxa"/>
            </w:tcMar>
            <w:vAlign w:val="center"/>
          </w:tcPr>
          <w:p w14:paraId="08B54D58">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p>
        </w:tc>
      </w:tr>
      <w:tr w14:paraId="67BFEB22">
        <w:tblPrEx>
          <w:tblCellMar>
            <w:top w:w="0" w:type="dxa"/>
            <w:left w:w="0" w:type="dxa"/>
            <w:bottom w:w="0" w:type="dxa"/>
            <w:right w:w="0" w:type="dxa"/>
          </w:tblCellMar>
        </w:tblPrEx>
        <w:trPr>
          <w:trHeight w:val="286" w:hRule="atLeast"/>
          <w:jc w:val="center"/>
        </w:trPr>
        <w:tc>
          <w:tcPr>
            <w:tcW w:w="1182" w:type="dxa"/>
            <w:tcBorders>
              <w:top w:val="single" w:color="auto" w:sz="4" w:space="0"/>
              <w:left w:val="single" w:color="000000" w:sz="8" w:space="0"/>
              <w:bottom w:val="single" w:color="000000" w:sz="6" w:space="0"/>
              <w:right w:val="single" w:color="000000" w:sz="6" w:space="0"/>
            </w:tcBorders>
            <w:noWrap w:val="0"/>
            <w:tcMar>
              <w:top w:w="0" w:type="dxa"/>
              <w:left w:w="108" w:type="dxa"/>
              <w:bottom w:w="0" w:type="dxa"/>
              <w:right w:w="108" w:type="dxa"/>
            </w:tcMar>
            <w:vAlign w:val="center"/>
          </w:tcPr>
          <w:p w14:paraId="50395237">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center"/>
              <w:textAlignment w:val="auto"/>
              <w:rPr>
                <w:rFonts w:hint="eastAsia" w:ascii="宋体" w:hAnsi="宋体" w:cs="宋体"/>
                <w:color w:val="auto"/>
                <w:kern w:val="0"/>
                <w:sz w:val="24"/>
              </w:rPr>
            </w:pPr>
            <w:r>
              <w:rPr>
                <w:rFonts w:hint="eastAsia" w:ascii="宋体" w:hAnsi="宋体" w:cs="宋体"/>
                <w:color w:val="auto"/>
                <w:kern w:val="0"/>
                <w:sz w:val="24"/>
              </w:rPr>
              <w:t>身份</w:t>
            </w:r>
          </w:p>
          <w:p w14:paraId="2D9C3090">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center"/>
              <w:textAlignment w:val="auto"/>
              <w:rPr>
                <w:rFonts w:hint="eastAsia" w:ascii="宋体" w:hAnsi="宋体" w:eastAsia="宋体" w:cs="宋体"/>
                <w:color w:val="auto"/>
                <w:kern w:val="0"/>
                <w:sz w:val="24"/>
                <w:lang w:eastAsia="zh-CN"/>
              </w:rPr>
            </w:pPr>
            <w:r>
              <w:rPr>
                <w:rFonts w:hint="eastAsia" w:ascii="宋体" w:hAnsi="宋体" w:cs="宋体"/>
                <w:color w:val="auto"/>
                <w:kern w:val="0"/>
                <w:sz w:val="24"/>
              </w:rPr>
              <w:t>证号</w:t>
            </w:r>
          </w:p>
        </w:tc>
        <w:tc>
          <w:tcPr>
            <w:tcW w:w="2716" w:type="dxa"/>
            <w:gridSpan w:val="4"/>
            <w:tcBorders>
              <w:top w:val="single" w:color="auto" w:sz="4"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025476D">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center"/>
              <w:textAlignment w:val="auto"/>
              <w:rPr>
                <w:rFonts w:hint="eastAsia" w:ascii="宋体" w:hAnsi="宋体" w:cs="宋体"/>
                <w:color w:val="auto"/>
                <w:kern w:val="0"/>
                <w:sz w:val="24"/>
              </w:rPr>
            </w:pPr>
          </w:p>
        </w:tc>
        <w:tc>
          <w:tcPr>
            <w:tcW w:w="1362" w:type="dxa"/>
            <w:tcBorders>
              <w:top w:val="single" w:color="auto" w:sz="4" w:space="0"/>
              <w:left w:val="single" w:color="000000" w:sz="6" w:space="0"/>
              <w:bottom w:val="single" w:color="000000" w:sz="6" w:space="0"/>
              <w:right w:val="single" w:color="auto" w:sz="4" w:space="0"/>
            </w:tcBorders>
            <w:noWrap w:val="0"/>
            <w:tcMar>
              <w:top w:w="0" w:type="dxa"/>
              <w:left w:w="108" w:type="dxa"/>
              <w:bottom w:w="0" w:type="dxa"/>
              <w:right w:w="108" w:type="dxa"/>
            </w:tcMar>
            <w:vAlign w:val="center"/>
          </w:tcPr>
          <w:p w14:paraId="108B39B1">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center"/>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办公</w:t>
            </w:r>
          </w:p>
          <w:p w14:paraId="09DCF3FC">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电话</w:t>
            </w:r>
          </w:p>
        </w:tc>
        <w:tc>
          <w:tcPr>
            <w:tcW w:w="1688" w:type="dxa"/>
            <w:tcBorders>
              <w:top w:val="single" w:color="auto" w:sz="4" w:space="0"/>
              <w:left w:val="single" w:color="auto" w:sz="4" w:space="0"/>
              <w:bottom w:val="single" w:color="000000" w:sz="6" w:space="0"/>
              <w:right w:val="single" w:color="000000" w:sz="6" w:space="0"/>
            </w:tcBorders>
            <w:noWrap w:val="0"/>
            <w:tcMar>
              <w:top w:w="0" w:type="dxa"/>
              <w:left w:w="108" w:type="dxa"/>
              <w:bottom w:w="0" w:type="dxa"/>
              <w:right w:w="108" w:type="dxa"/>
            </w:tcMar>
            <w:vAlign w:val="center"/>
          </w:tcPr>
          <w:p w14:paraId="39E94CA5">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p>
        </w:tc>
        <w:tc>
          <w:tcPr>
            <w:tcW w:w="1686" w:type="dxa"/>
            <w:vMerge w:val="continue"/>
            <w:tcBorders>
              <w:top w:val="single" w:color="000000" w:sz="8" w:space="0"/>
              <w:left w:val="single" w:color="000000" w:sz="6" w:space="0"/>
              <w:bottom w:val="single" w:color="000000" w:sz="4" w:space="0"/>
              <w:right w:val="single" w:color="000000" w:sz="8" w:space="0"/>
            </w:tcBorders>
            <w:noWrap w:val="0"/>
            <w:tcMar>
              <w:top w:w="0" w:type="dxa"/>
              <w:left w:w="108" w:type="dxa"/>
              <w:bottom w:w="0" w:type="dxa"/>
              <w:right w:w="108" w:type="dxa"/>
            </w:tcMar>
            <w:vAlign w:val="center"/>
          </w:tcPr>
          <w:p w14:paraId="1F65FCF5">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p>
        </w:tc>
      </w:tr>
      <w:tr w14:paraId="09BAAA6C">
        <w:tblPrEx>
          <w:tblCellMar>
            <w:top w:w="0" w:type="dxa"/>
            <w:left w:w="0" w:type="dxa"/>
            <w:bottom w:w="0" w:type="dxa"/>
            <w:right w:w="0" w:type="dxa"/>
          </w:tblCellMar>
        </w:tblPrEx>
        <w:trPr>
          <w:trHeight w:val="437" w:hRule="atLeast"/>
          <w:jc w:val="center"/>
        </w:trPr>
        <w:tc>
          <w:tcPr>
            <w:tcW w:w="1182" w:type="dxa"/>
            <w:tcBorders>
              <w:top w:val="single" w:color="000000" w:sz="6" w:space="0"/>
              <w:left w:val="single" w:color="000000" w:sz="8" w:space="0"/>
              <w:bottom w:val="single" w:color="auto" w:sz="4" w:space="0"/>
              <w:right w:val="single" w:color="000000" w:sz="6" w:space="0"/>
            </w:tcBorders>
            <w:noWrap w:val="0"/>
            <w:tcMar>
              <w:top w:w="0" w:type="dxa"/>
              <w:left w:w="108" w:type="dxa"/>
              <w:bottom w:w="0" w:type="dxa"/>
              <w:right w:w="108" w:type="dxa"/>
            </w:tcMar>
            <w:vAlign w:val="center"/>
          </w:tcPr>
          <w:p w14:paraId="4D7A0C2B">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center"/>
              <w:textAlignment w:val="auto"/>
              <w:rPr>
                <w:rFonts w:hint="eastAsia" w:ascii="宋体" w:hAnsi="宋体" w:cs="宋体"/>
                <w:color w:val="auto"/>
                <w:kern w:val="0"/>
                <w:sz w:val="24"/>
              </w:rPr>
            </w:pPr>
            <w:r>
              <w:rPr>
                <w:rFonts w:hint="eastAsia" w:ascii="宋体" w:hAnsi="宋体" w:cs="宋体"/>
                <w:color w:val="auto"/>
                <w:kern w:val="0"/>
                <w:sz w:val="24"/>
                <w:lang w:eastAsia="zh-CN"/>
              </w:rPr>
              <w:t>手机号码</w:t>
            </w:r>
          </w:p>
        </w:tc>
        <w:tc>
          <w:tcPr>
            <w:tcW w:w="2716" w:type="dxa"/>
            <w:gridSpan w:val="4"/>
            <w:tcBorders>
              <w:top w:val="single" w:color="000000" w:sz="6" w:space="0"/>
              <w:left w:val="single" w:color="000000" w:sz="6" w:space="0"/>
              <w:bottom w:val="single" w:color="auto" w:sz="4" w:space="0"/>
              <w:right w:val="single" w:color="auto" w:sz="4" w:space="0"/>
            </w:tcBorders>
            <w:noWrap w:val="0"/>
            <w:tcMar>
              <w:top w:w="0" w:type="dxa"/>
              <w:left w:w="108" w:type="dxa"/>
              <w:bottom w:w="0" w:type="dxa"/>
              <w:right w:w="108" w:type="dxa"/>
            </w:tcMar>
            <w:vAlign w:val="center"/>
          </w:tcPr>
          <w:p w14:paraId="41B3C886">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center"/>
              <w:textAlignment w:val="auto"/>
              <w:rPr>
                <w:rFonts w:hint="eastAsia" w:ascii="宋体" w:hAnsi="宋体" w:cs="宋体"/>
                <w:color w:val="auto"/>
                <w:kern w:val="0"/>
                <w:sz w:val="24"/>
              </w:rPr>
            </w:pPr>
          </w:p>
          <w:p w14:paraId="1E13EE0F">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center"/>
              <w:textAlignment w:val="auto"/>
              <w:rPr>
                <w:rFonts w:hint="eastAsia" w:ascii="宋体" w:hAnsi="宋体" w:cs="宋体"/>
                <w:color w:val="auto"/>
                <w:kern w:val="0"/>
                <w:sz w:val="24"/>
              </w:rPr>
            </w:pPr>
          </w:p>
        </w:tc>
        <w:tc>
          <w:tcPr>
            <w:tcW w:w="1362" w:type="dxa"/>
            <w:tcBorders>
              <w:top w:val="single" w:color="000000" w:sz="6"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7107420">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电子</w:t>
            </w:r>
          </w:p>
          <w:p w14:paraId="73C4E4C7">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邮箱</w:t>
            </w:r>
          </w:p>
        </w:tc>
        <w:tc>
          <w:tcPr>
            <w:tcW w:w="1688" w:type="dxa"/>
            <w:tcBorders>
              <w:top w:val="single" w:color="000000" w:sz="6" w:space="0"/>
              <w:left w:val="single" w:color="auto" w:sz="4" w:space="0"/>
              <w:bottom w:val="single" w:color="auto" w:sz="4" w:space="0"/>
              <w:right w:val="single" w:color="000000" w:sz="6" w:space="0"/>
            </w:tcBorders>
            <w:noWrap w:val="0"/>
            <w:tcMar>
              <w:top w:w="0" w:type="dxa"/>
              <w:left w:w="108" w:type="dxa"/>
              <w:bottom w:w="0" w:type="dxa"/>
              <w:right w:w="108" w:type="dxa"/>
            </w:tcMar>
            <w:vAlign w:val="center"/>
          </w:tcPr>
          <w:p w14:paraId="6F13E471">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p>
        </w:tc>
        <w:tc>
          <w:tcPr>
            <w:tcW w:w="1686" w:type="dxa"/>
            <w:vMerge w:val="continue"/>
            <w:tcBorders>
              <w:top w:val="single" w:color="000000" w:sz="8" w:space="0"/>
              <w:left w:val="single" w:color="000000" w:sz="6" w:space="0"/>
              <w:bottom w:val="single" w:color="auto" w:sz="4" w:space="0"/>
              <w:right w:val="single" w:color="000000" w:sz="8" w:space="0"/>
            </w:tcBorders>
            <w:noWrap w:val="0"/>
            <w:tcMar>
              <w:top w:w="0" w:type="dxa"/>
              <w:left w:w="108" w:type="dxa"/>
              <w:bottom w:w="0" w:type="dxa"/>
              <w:right w:w="108" w:type="dxa"/>
            </w:tcMar>
            <w:vAlign w:val="center"/>
          </w:tcPr>
          <w:p w14:paraId="4870D976">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p>
        </w:tc>
      </w:tr>
      <w:tr w14:paraId="585ADE41">
        <w:tblPrEx>
          <w:tblCellMar>
            <w:top w:w="0" w:type="dxa"/>
            <w:left w:w="0" w:type="dxa"/>
            <w:bottom w:w="0" w:type="dxa"/>
            <w:right w:w="0" w:type="dxa"/>
          </w:tblCellMar>
        </w:tblPrEx>
        <w:trPr>
          <w:trHeight w:val="755" w:hRule="atLeast"/>
          <w:jc w:val="center"/>
        </w:trPr>
        <w:tc>
          <w:tcPr>
            <w:tcW w:w="1182" w:type="dxa"/>
            <w:tcBorders>
              <w:top w:val="single" w:color="auto" w:sz="4" w:space="0"/>
              <w:left w:val="single" w:color="000000" w:sz="8" w:space="0"/>
              <w:bottom w:val="single" w:color="000000" w:sz="6" w:space="0"/>
              <w:right w:val="single" w:color="000000" w:sz="6" w:space="0"/>
            </w:tcBorders>
            <w:noWrap w:val="0"/>
            <w:tcMar>
              <w:top w:w="0" w:type="dxa"/>
              <w:left w:w="108" w:type="dxa"/>
              <w:bottom w:w="0" w:type="dxa"/>
              <w:right w:w="108" w:type="dxa"/>
            </w:tcMar>
            <w:vAlign w:val="center"/>
          </w:tcPr>
          <w:p w14:paraId="7A43DD7E">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center"/>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学历学位</w:t>
            </w:r>
          </w:p>
        </w:tc>
        <w:tc>
          <w:tcPr>
            <w:tcW w:w="2716" w:type="dxa"/>
            <w:gridSpan w:val="4"/>
            <w:tcBorders>
              <w:top w:val="single" w:color="auto" w:sz="4" w:space="0"/>
              <w:left w:val="single" w:color="000000" w:sz="6" w:space="0"/>
              <w:bottom w:val="single" w:color="000000" w:sz="6" w:space="0"/>
              <w:right w:val="single" w:color="auto" w:sz="4" w:space="0"/>
            </w:tcBorders>
            <w:noWrap w:val="0"/>
            <w:tcMar>
              <w:top w:w="0" w:type="dxa"/>
              <w:left w:w="108" w:type="dxa"/>
              <w:bottom w:w="0" w:type="dxa"/>
              <w:right w:w="108" w:type="dxa"/>
            </w:tcMar>
            <w:vAlign w:val="center"/>
          </w:tcPr>
          <w:p w14:paraId="5E82BFFE">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center"/>
              <w:textAlignment w:val="auto"/>
              <w:rPr>
                <w:rFonts w:hint="eastAsia" w:ascii="宋体" w:hAnsi="宋体" w:eastAsia="宋体" w:cs="宋体"/>
                <w:color w:val="auto"/>
                <w:kern w:val="0"/>
                <w:sz w:val="24"/>
                <w:lang w:eastAsia="zh-CN"/>
              </w:rPr>
            </w:pPr>
          </w:p>
        </w:tc>
        <w:tc>
          <w:tcPr>
            <w:tcW w:w="1362" w:type="dxa"/>
            <w:tcBorders>
              <w:top w:val="single" w:color="auto" w:sz="4" w:space="0"/>
              <w:left w:val="single" w:color="auto" w:sz="4" w:space="0"/>
              <w:bottom w:val="single" w:color="000000" w:sz="6" w:space="0"/>
              <w:right w:val="single" w:color="auto" w:sz="4" w:space="0"/>
            </w:tcBorders>
            <w:noWrap w:val="0"/>
            <w:tcMar>
              <w:top w:w="0" w:type="dxa"/>
              <w:left w:w="108" w:type="dxa"/>
              <w:bottom w:w="0" w:type="dxa"/>
              <w:right w:w="108" w:type="dxa"/>
            </w:tcMar>
            <w:vAlign w:val="center"/>
          </w:tcPr>
          <w:p w14:paraId="3B929B27">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center"/>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申报专业组（领域）</w:t>
            </w:r>
          </w:p>
        </w:tc>
        <w:tc>
          <w:tcPr>
            <w:tcW w:w="3374" w:type="dxa"/>
            <w:gridSpan w:val="2"/>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1C497240">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p>
        </w:tc>
      </w:tr>
      <w:tr w14:paraId="1B9FC33E">
        <w:tblPrEx>
          <w:tblCellMar>
            <w:top w:w="0" w:type="dxa"/>
            <w:left w:w="0" w:type="dxa"/>
            <w:bottom w:w="0" w:type="dxa"/>
            <w:right w:w="0" w:type="dxa"/>
          </w:tblCellMar>
        </w:tblPrEx>
        <w:trPr>
          <w:trHeight w:val="760" w:hRule="atLeast"/>
          <w:jc w:val="center"/>
        </w:trPr>
        <w:tc>
          <w:tcPr>
            <w:tcW w:w="1182" w:type="dxa"/>
            <w:tcBorders>
              <w:top w:val="single" w:color="000000" w:sz="6" w:space="0"/>
              <w:left w:val="single" w:color="000000" w:sz="8" w:space="0"/>
              <w:bottom w:val="single" w:color="000000" w:sz="4" w:space="0"/>
              <w:right w:val="single" w:color="000000" w:sz="6" w:space="0"/>
            </w:tcBorders>
            <w:noWrap w:val="0"/>
            <w:tcMar>
              <w:top w:w="0" w:type="dxa"/>
              <w:left w:w="108" w:type="dxa"/>
              <w:bottom w:w="0" w:type="dxa"/>
              <w:right w:w="108" w:type="dxa"/>
            </w:tcMar>
            <w:vAlign w:val="center"/>
          </w:tcPr>
          <w:p w14:paraId="16A114B7">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center"/>
              <w:textAlignment w:val="auto"/>
              <w:rPr>
                <w:rFonts w:hint="eastAsia" w:ascii="宋体" w:hAnsi="宋体" w:cs="宋体"/>
                <w:color w:val="auto"/>
                <w:kern w:val="0"/>
                <w:sz w:val="24"/>
              </w:rPr>
            </w:pPr>
            <w:r>
              <w:rPr>
                <w:rFonts w:hint="eastAsia" w:ascii="宋体" w:hAnsi="宋体" w:cs="宋体"/>
                <w:color w:val="auto"/>
                <w:kern w:val="0"/>
                <w:sz w:val="24"/>
              </w:rPr>
              <w:t>就业情况</w:t>
            </w:r>
          </w:p>
        </w:tc>
        <w:tc>
          <w:tcPr>
            <w:tcW w:w="2716" w:type="dxa"/>
            <w:gridSpan w:val="4"/>
            <w:tcBorders>
              <w:top w:val="single" w:color="000000" w:sz="6" w:space="0"/>
              <w:left w:val="single" w:color="000000" w:sz="6" w:space="0"/>
              <w:bottom w:val="single" w:color="000000" w:sz="4" w:space="0"/>
              <w:right w:val="single" w:color="auto" w:sz="4" w:space="0"/>
            </w:tcBorders>
            <w:noWrap w:val="0"/>
            <w:tcMar>
              <w:top w:w="0" w:type="dxa"/>
              <w:left w:w="108" w:type="dxa"/>
              <w:bottom w:w="0" w:type="dxa"/>
              <w:right w:w="108" w:type="dxa"/>
            </w:tcMar>
            <w:vAlign w:val="center"/>
          </w:tcPr>
          <w:p w14:paraId="41E1DC9A">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center"/>
              <w:textAlignment w:val="auto"/>
              <w:rPr>
                <w:rFonts w:hint="eastAsia" w:ascii="宋体" w:hAnsi="宋体" w:cs="宋体"/>
                <w:color w:val="auto"/>
                <w:kern w:val="0"/>
                <w:sz w:val="24"/>
              </w:rPr>
            </w:pPr>
            <w:r>
              <w:rPr>
                <w:rFonts w:hint="eastAsia" w:ascii="宋体" w:hAnsi="宋体" w:cs="宋体"/>
                <w:color w:val="auto"/>
                <w:kern w:val="0"/>
                <w:sz w:val="24"/>
              </w:rPr>
              <w:t>在</w:t>
            </w:r>
            <w:r>
              <w:rPr>
                <w:rFonts w:hint="eastAsia" w:ascii="宋体" w:hAnsi="宋体" w:cs="宋体"/>
                <w:color w:val="auto"/>
                <w:kern w:val="0"/>
                <w:sz w:val="24"/>
                <w:lang w:eastAsia="zh-CN"/>
              </w:rPr>
              <w:t>职</w:t>
            </w:r>
            <w:r>
              <w:rPr>
                <w:rFonts w:hint="eastAsia" w:ascii="宋体" w:hAnsi="宋体" w:cs="宋体"/>
                <w:color w:val="auto"/>
                <w:kern w:val="0"/>
                <w:sz w:val="24"/>
              </w:rPr>
              <w:t>□ , 退休□，其他□</w:t>
            </w:r>
          </w:p>
        </w:tc>
        <w:tc>
          <w:tcPr>
            <w:tcW w:w="1362" w:type="dxa"/>
            <w:tcBorders>
              <w:top w:val="single" w:color="000000" w:sz="6" w:space="0"/>
              <w:left w:val="single" w:color="auto" w:sz="4" w:space="0"/>
              <w:bottom w:val="single" w:color="000000" w:sz="4" w:space="0"/>
              <w:right w:val="single" w:color="auto" w:sz="4" w:space="0"/>
            </w:tcBorders>
            <w:noWrap w:val="0"/>
            <w:tcMar>
              <w:top w:w="0" w:type="dxa"/>
              <w:left w:w="0" w:type="dxa"/>
              <w:bottom w:w="0" w:type="dxa"/>
              <w:right w:w="0" w:type="dxa"/>
            </w:tcMar>
            <w:vAlign w:val="center"/>
          </w:tcPr>
          <w:p w14:paraId="2842AA8A">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center"/>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专业专长及工作</w:t>
            </w:r>
            <w:r>
              <w:rPr>
                <w:rFonts w:hint="eastAsia" w:ascii="宋体" w:hAnsi="宋体" w:eastAsia="宋体" w:cs="宋体"/>
                <w:color w:val="auto"/>
                <w:kern w:val="0"/>
                <w:sz w:val="24"/>
              </w:rPr>
              <w:t>年限</w:t>
            </w:r>
          </w:p>
        </w:tc>
        <w:tc>
          <w:tcPr>
            <w:tcW w:w="3374" w:type="dxa"/>
            <w:gridSpan w:val="2"/>
            <w:tcBorders>
              <w:top w:val="single" w:color="auto" w:sz="4" w:space="0"/>
              <w:left w:val="single" w:color="auto" w:sz="4" w:space="0"/>
              <w:bottom w:val="single" w:color="000000" w:sz="4" w:space="0"/>
              <w:right w:val="single" w:color="000000" w:sz="8" w:space="0"/>
            </w:tcBorders>
            <w:noWrap w:val="0"/>
            <w:tcMar>
              <w:top w:w="0" w:type="dxa"/>
              <w:left w:w="0" w:type="dxa"/>
              <w:bottom w:w="0" w:type="dxa"/>
              <w:right w:w="0" w:type="dxa"/>
            </w:tcMar>
            <w:vAlign w:val="center"/>
          </w:tcPr>
          <w:p w14:paraId="07986C92">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p>
        </w:tc>
      </w:tr>
      <w:tr w14:paraId="6286F311">
        <w:tblPrEx>
          <w:tblCellMar>
            <w:top w:w="0" w:type="dxa"/>
            <w:left w:w="0" w:type="dxa"/>
            <w:bottom w:w="0" w:type="dxa"/>
            <w:right w:w="0" w:type="dxa"/>
          </w:tblCellMar>
        </w:tblPrEx>
        <w:trPr>
          <w:trHeight w:val="469" w:hRule="atLeast"/>
          <w:jc w:val="center"/>
        </w:trPr>
        <w:tc>
          <w:tcPr>
            <w:tcW w:w="1182" w:type="dxa"/>
            <w:tcBorders>
              <w:top w:val="single" w:color="000000" w:sz="4" w:space="0"/>
              <w:left w:val="single" w:color="000000" w:sz="8" w:space="0"/>
              <w:bottom w:val="single" w:color="000000" w:sz="4" w:space="0"/>
              <w:right w:val="single" w:color="000000" w:sz="6" w:space="0"/>
            </w:tcBorders>
            <w:noWrap w:val="0"/>
            <w:tcMar>
              <w:top w:w="0" w:type="dxa"/>
              <w:left w:w="108" w:type="dxa"/>
              <w:bottom w:w="0" w:type="dxa"/>
              <w:right w:w="108" w:type="dxa"/>
            </w:tcMar>
            <w:vAlign w:val="center"/>
          </w:tcPr>
          <w:p w14:paraId="7D0D7951">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center"/>
              <w:textAlignment w:val="auto"/>
              <w:rPr>
                <w:rFonts w:hint="eastAsia" w:ascii="宋体" w:hAnsi="宋体" w:cs="宋体"/>
                <w:color w:val="auto"/>
                <w:kern w:val="0"/>
                <w:sz w:val="24"/>
              </w:rPr>
            </w:pPr>
            <w:r>
              <w:rPr>
                <w:rFonts w:hint="eastAsia" w:ascii="宋体" w:hAnsi="宋体" w:cs="宋体"/>
                <w:color w:val="auto"/>
                <w:kern w:val="0"/>
                <w:sz w:val="24"/>
              </w:rPr>
              <w:t>职务/</w:t>
            </w:r>
          </w:p>
          <w:p w14:paraId="2FE309BC">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center"/>
              <w:textAlignment w:val="auto"/>
              <w:rPr>
                <w:rFonts w:hint="eastAsia" w:ascii="宋体" w:hAnsi="宋体" w:cs="宋体"/>
                <w:color w:val="auto"/>
                <w:kern w:val="0"/>
                <w:sz w:val="24"/>
              </w:rPr>
            </w:pPr>
            <w:r>
              <w:rPr>
                <w:rFonts w:hint="eastAsia" w:ascii="宋体" w:hAnsi="宋体" w:cs="宋体"/>
                <w:color w:val="auto"/>
                <w:kern w:val="0"/>
                <w:sz w:val="24"/>
              </w:rPr>
              <w:t>职称</w:t>
            </w:r>
          </w:p>
        </w:tc>
        <w:tc>
          <w:tcPr>
            <w:tcW w:w="2716" w:type="dxa"/>
            <w:gridSpan w:val="4"/>
            <w:tcBorders>
              <w:top w:val="single" w:color="000000" w:sz="4" w:space="0"/>
              <w:left w:val="single" w:color="000000" w:sz="6" w:space="0"/>
              <w:bottom w:val="single" w:color="000000" w:sz="4" w:space="0"/>
              <w:right w:val="single" w:color="auto" w:sz="4" w:space="0"/>
            </w:tcBorders>
            <w:noWrap w:val="0"/>
            <w:tcMar>
              <w:top w:w="0" w:type="dxa"/>
              <w:left w:w="108" w:type="dxa"/>
              <w:bottom w:w="0" w:type="dxa"/>
              <w:right w:w="108" w:type="dxa"/>
            </w:tcMar>
            <w:vAlign w:val="center"/>
          </w:tcPr>
          <w:p w14:paraId="643007BC">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center"/>
              <w:textAlignment w:val="auto"/>
              <w:rPr>
                <w:rFonts w:hint="eastAsia" w:ascii="宋体" w:hAnsi="宋体" w:cs="宋体"/>
                <w:color w:val="auto"/>
                <w:kern w:val="0"/>
                <w:sz w:val="24"/>
              </w:rPr>
            </w:pPr>
          </w:p>
        </w:tc>
        <w:tc>
          <w:tcPr>
            <w:tcW w:w="1362"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14:paraId="6A5619C4">
            <w:pPr>
              <w:jc w:val="center"/>
              <w:rPr>
                <w:rFonts w:hint="eastAsia" w:ascii="宋体" w:hAnsi="宋体" w:cs="宋体"/>
                <w:color w:val="auto"/>
                <w:kern w:val="0"/>
                <w:sz w:val="24"/>
              </w:rPr>
            </w:pPr>
            <w:r>
              <w:rPr>
                <w:rFonts w:hint="eastAsia" w:ascii="宋体" w:hAnsi="宋体" w:cs="宋体"/>
                <w:color w:val="auto"/>
                <w:kern w:val="0"/>
                <w:sz w:val="24"/>
              </w:rPr>
              <w:t>职业资</w:t>
            </w:r>
          </w:p>
          <w:p w14:paraId="296CF5B6">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center"/>
              <w:textAlignment w:val="auto"/>
              <w:rPr>
                <w:rFonts w:hint="eastAsia" w:ascii="宋体" w:hAnsi="宋体" w:cs="宋体"/>
                <w:color w:val="auto"/>
                <w:kern w:val="0"/>
                <w:sz w:val="24"/>
              </w:rPr>
            </w:pPr>
            <w:r>
              <w:rPr>
                <w:rFonts w:hint="eastAsia" w:ascii="宋体" w:hAnsi="宋体" w:cs="宋体"/>
                <w:color w:val="auto"/>
                <w:kern w:val="0"/>
                <w:sz w:val="24"/>
                <w:lang w:eastAsia="zh-CN"/>
              </w:rPr>
              <w:t>质情况</w:t>
            </w:r>
          </w:p>
        </w:tc>
        <w:tc>
          <w:tcPr>
            <w:tcW w:w="3374" w:type="dxa"/>
            <w:gridSpan w:val="2"/>
            <w:tcBorders>
              <w:top w:val="single" w:color="000000" w:sz="4" w:space="0"/>
              <w:left w:val="single" w:color="auto" w:sz="4" w:space="0"/>
              <w:bottom w:val="single" w:color="000000" w:sz="4" w:space="0"/>
              <w:right w:val="single" w:color="000000" w:sz="8" w:space="0"/>
            </w:tcBorders>
            <w:noWrap w:val="0"/>
            <w:tcMar>
              <w:top w:w="0" w:type="dxa"/>
              <w:left w:w="108" w:type="dxa"/>
              <w:bottom w:w="0" w:type="dxa"/>
              <w:right w:w="108" w:type="dxa"/>
            </w:tcMar>
            <w:vAlign w:val="center"/>
          </w:tcPr>
          <w:p w14:paraId="39FEC23A"/>
          <w:p w14:paraId="11B096D1">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p>
        </w:tc>
      </w:tr>
      <w:tr w14:paraId="143EF09E">
        <w:tblPrEx>
          <w:tblCellMar>
            <w:top w:w="0" w:type="dxa"/>
            <w:left w:w="0" w:type="dxa"/>
            <w:bottom w:w="0" w:type="dxa"/>
            <w:right w:w="0" w:type="dxa"/>
          </w:tblCellMar>
        </w:tblPrEx>
        <w:trPr>
          <w:trHeight w:val="860" w:hRule="atLeast"/>
          <w:jc w:val="center"/>
        </w:trPr>
        <w:tc>
          <w:tcPr>
            <w:tcW w:w="1182" w:type="dxa"/>
            <w:tcBorders>
              <w:top w:val="single" w:color="000000" w:sz="4" w:space="0"/>
              <w:left w:val="single" w:color="000000" w:sz="8" w:space="0"/>
              <w:bottom w:val="single" w:color="auto" w:sz="4" w:space="0"/>
              <w:right w:val="single" w:color="auto" w:sz="4" w:space="0"/>
            </w:tcBorders>
            <w:noWrap w:val="0"/>
            <w:tcMar>
              <w:top w:w="0" w:type="dxa"/>
              <w:left w:w="108" w:type="dxa"/>
              <w:bottom w:w="0" w:type="dxa"/>
              <w:right w:w="108" w:type="dxa"/>
            </w:tcMar>
            <w:vAlign w:val="center"/>
          </w:tcPr>
          <w:p w14:paraId="77896AC6">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center"/>
              <w:textAlignment w:val="auto"/>
              <w:rPr>
                <w:rFonts w:hint="eastAsia" w:ascii="宋体" w:hAnsi="宋体" w:cs="宋体"/>
                <w:color w:val="auto"/>
                <w:kern w:val="0"/>
                <w:sz w:val="24"/>
              </w:rPr>
            </w:pPr>
            <w:r>
              <w:rPr>
                <w:rFonts w:hint="eastAsia" w:ascii="宋体" w:hAnsi="宋体" w:eastAsia="宋体" w:cs="宋体"/>
                <w:color w:val="auto"/>
                <w:kern w:val="0"/>
                <w:sz w:val="24"/>
                <w:lang w:eastAsia="zh-CN"/>
              </w:rPr>
              <w:t>单位全称及地址</w:t>
            </w:r>
          </w:p>
        </w:tc>
        <w:tc>
          <w:tcPr>
            <w:tcW w:w="7452" w:type="dxa"/>
            <w:gridSpan w:val="7"/>
            <w:tcBorders>
              <w:top w:val="single" w:color="000000"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05EEC7D8"/>
          <w:p w14:paraId="631D15EE">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240" w:firstLineChars="100"/>
              <w:jc w:val="both"/>
              <w:textAlignment w:val="auto"/>
              <w:rPr>
                <w:rFonts w:hint="eastAsia" w:ascii="宋体" w:hAnsi="宋体" w:cs="宋体"/>
                <w:color w:val="auto"/>
                <w:kern w:val="0"/>
                <w:sz w:val="24"/>
              </w:rPr>
            </w:pPr>
          </w:p>
          <w:p w14:paraId="726C81D6"/>
          <w:p w14:paraId="66536817">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p>
        </w:tc>
      </w:tr>
      <w:tr w14:paraId="56633F2F">
        <w:tblPrEx>
          <w:tblCellMar>
            <w:top w:w="0" w:type="dxa"/>
            <w:left w:w="0" w:type="dxa"/>
            <w:bottom w:w="0" w:type="dxa"/>
            <w:right w:w="0" w:type="dxa"/>
          </w:tblCellMar>
        </w:tblPrEx>
        <w:trPr>
          <w:trHeight w:val="830" w:hRule="atLeast"/>
          <w:jc w:val="center"/>
        </w:trPr>
        <w:tc>
          <w:tcPr>
            <w:tcW w:w="1182" w:type="dxa"/>
            <w:tcBorders>
              <w:top w:val="single" w:color="auto" w:sz="4" w:space="0"/>
              <w:left w:val="single" w:color="000000" w:sz="8" w:space="0"/>
              <w:right w:val="single" w:color="auto" w:sz="4" w:space="0"/>
            </w:tcBorders>
            <w:noWrap w:val="0"/>
            <w:tcMar>
              <w:top w:w="0" w:type="dxa"/>
              <w:left w:w="108" w:type="dxa"/>
              <w:bottom w:w="0" w:type="dxa"/>
              <w:right w:w="108" w:type="dxa"/>
            </w:tcMar>
            <w:vAlign w:val="center"/>
          </w:tcPr>
          <w:p w14:paraId="76725EF4">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center"/>
              <w:textAlignment w:val="auto"/>
              <w:rPr>
                <w:rFonts w:hint="eastAsia" w:ascii="宋体" w:hAnsi="宋体" w:cs="宋体"/>
                <w:color w:val="auto"/>
                <w:kern w:val="0"/>
                <w:sz w:val="24"/>
                <w:lang w:eastAsia="zh-CN"/>
              </w:rPr>
            </w:pPr>
            <w:r>
              <w:rPr>
                <w:rFonts w:hint="eastAsia" w:ascii="宋体" w:hAnsi="宋体" w:cs="宋体"/>
                <w:color w:val="auto"/>
                <w:kern w:val="0"/>
                <w:sz w:val="24"/>
                <w:lang w:eastAsia="zh-CN"/>
              </w:rPr>
              <w:t>受惩戒的情况</w:t>
            </w:r>
          </w:p>
        </w:tc>
        <w:tc>
          <w:tcPr>
            <w:tcW w:w="7452" w:type="dxa"/>
            <w:gridSpan w:val="7"/>
            <w:tcBorders>
              <w:top w:val="single" w:color="auto" w:sz="4" w:space="0"/>
              <w:left w:val="single" w:color="auto" w:sz="4" w:space="0"/>
              <w:bottom w:val="single" w:color="000000" w:sz="4" w:space="0"/>
              <w:right w:val="single" w:color="000000" w:sz="8" w:space="0"/>
            </w:tcBorders>
            <w:noWrap w:val="0"/>
            <w:tcMar>
              <w:top w:w="0" w:type="dxa"/>
              <w:left w:w="108" w:type="dxa"/>
              <w:bottom w:w="0" w:type="dxa"/>
              <w:right w:w="108" w:type="dxa"/>
            </w:tcMar>
            <w:vAlign w:val="center"/>
          </w:tcPr>
          <w:p w14:paraId="45857D3F">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p>
        </w:tc>
      </w:tr>
      <w:tr w14:paraId="4B34672E">
        <w:tblPrEx>
          <w:tblCellMar>
            <w:top w:w="0" w:type="dxa"/>
            <w:left w:w="0" w:type="dxa"/>
            <w:bottom w:w="0" w:type="dxa"/>
            <w:right w:w="0" w:type="dxa"/>
          </w:tblCellMar>
        </w:tblPrEx>
        <w:trPr>
          <w:trHeight w:val="939" w:hRule="atLeast"/>
          <w:jc w:val="center"/>
        </w:trPr>
        <w:tc>
          <w:tcPr>
            <w:tcW w:w="1818" w:type="dxa"/>
            <w:gridSpan w:val="2"/>
            <w:tcBorders>
              <w:top w:val="single" w:color="000000" w:sz="4" w:space="0"/>
              <w:left w:val="single" w:color="000000" w:sz="8" w:space="0"/>
              <w:bottom w:val="single" w:color="000000" w:sz="4" w:space="0"/>
              <w:right w:val="single" w:color="auto" w:sz="4" w:space="0"/>
            </w:tcBorders>
            <w:noWrap w:val="0"/>
            <w:tcMar>
              <w:top w:w="0" w:type="dxa"/>
              <w:left w:w="108" w:type="dxa"/>
              <w:bottom w:w="0" w:type="dxa"/>
              <w:right w:w="108" w:type="dxa"/>
            </w:tcMar>
            <w:vAlign w:val="center"/>
          </w:tcPr>
          <w:p w14:paraId="04C7B1B4">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both"/>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是否在技术服务机构任（兼）职</w:t>
            </w:r>
          </w:p>
        </w:tc>
        <w:tc>
          <w:tcPr>
            <w:tcW w:w="6816" w:type="dxa"/>
            <w:gridSpan w:val="6"/>
            <w:tcBorders>
              <w:top w:val="single" w:color="000000" w:sz="4" w:space="0"/>
              <w:left w:val="single" w:color="auto" w:sz="4" w:space="0"/>
              <w:bottom w:val="single" w:color="000000" w:sz="4" w:space="0"/>
              <w:right w:val="single" w:color="000000" w:sz="8" w:space="0"/>
            </w:tcBorders>
            <w:noWrap w:val="0"/>
            <w:tcMar>
              <w:top w:w="0" w:type="dxa"/>
              <w:left w:w="108" w:type="dxa"/>
              <w:bottom w:w="0" w:type="dxa"/>
              <w:right w:w="108" w:type="dxa"/>
            </w:tcMar>
            <w:vAlign w:val="center"/>
          </w:tcPr>
          <w:p w14:paraId="193E2BD5">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both"/>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是□ （说明在哪类机构任职或兼职）</w:t>
            </w:r>
          </w:p>
          <w:p w14:paraId="7A1BBE69">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both"/>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否□</w:t>
            </w:r>
          </w:p>
        </w:tc>
      </w:tr>
      <w:tr w14:paraId="343B623F">
        <w:tblPrEx>
          <w:tblCellMar>
            <w:top w:w="0" w:type="dxa"/>
            <w:left w:w="0" w:type="dxa"/>
            <w:bottom w:w="0" w:type="dxa"/>
            <w:right w:w="0" w:type="dxa"/>
          </w:tblCellMar>
        </w:tblPrEx>
        <w:trPr>
          <w:trHeight w:val="90" w:hRule="atLeast"/>
          <w:jc w:val="center"/>
        </w:trPr>
        <w:tc>
          <w:tcPr>
            <w:tcW w:w="1182" w:type="dxa"/>
            <w:tcBorders>
              <w:top w:val="single" w:color="000000" w:sz="4" w:space="0"/>
              <w:left w:val="single" w:color="000000" w:sz="8" w:space="0"/>
              <w:bottom w:val="single" w:color="000000" w:sz="6" w:space="0"/>
              <w:right w:val="single" w:color="000000" w:sz="6" w:space="0"/>
            </w:tcBorders>
            <w:noWrap w:val="0"/>
            <w:tcMar>
              <w:top w:w="0" w:type="dxa"/>
              <w:left w:w="108" w:type="dxa"/>
              <w:bottom w:w="0" w:type="dxa"/>
              <w:right w:w="108" w:type="dxa"/>
            </w:tcMar>
            <w:vAlign w:val="center"/>
          </w:tcPr>
          <w:p w14:paraId="46D91E19">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r>
              <w:rPr>
                <w:rFonts w:hint="eastAsia" w:ascii="宋体" w:hAnsi="宋体" w:cs="宋体"/>
                <w:color w:val="auto"/>
                <w:kern w:val="0"/>
                <w:sz w:val="24"/>
              </w:rPr>
              <w:t>工</w:t>
            </w:r>
          </w:p>
          <w:p w14:paraId="6676BF61">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r>
              <w:rPr>
                <w:rFonts w:hint="eastAsia" w:ascii="宋体" w:hAnsi="宋体" w:cs="宋体"/>
                <w:color w:val="auto"/>
                <w:kern w:val="0"/>
                <w:sz w:val="24"/>
              </w:rPr>
              <w:t>作</w:t>
            </w:r>
          </w:p>
          <w:p w14:paraId="28D44A7F">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r>
              <w:rPr>
                <w:rFonts w:hint="eastAsia" w:ascii="宋体" w:hAnsi="宋体" w:cs="宋体"/>
                <w:color w:val="auto"/>
                <w:kern w:val="0"/>
                <w:sz w:val="24"/>
              </w:rPr>
              <w:t>简</w:t>
            </w:r>
          </w:p>
          <w:p w14:paraId="44821F46">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r>
              <w:rPr>
                <w:rFonts w:hint="eastAsia" w:ascii="宋体" w:hAnsi="宋体" w:cs="宋体"/>
                <w:color w:val="auto"/>
                <w:kern w:val="0"/>
                <w:sz w:val="24"/>
              </w:rPr>
              <w:t>历</w:t>
            </w:r>
          </w:p>
        </w:tc>
        <w:tc>
          <w:tcPr>
            <w:tcW w:w="7452" w:type="dxa"/>
            <w:gridSpan w:val="7"/>
            <w:tcBorders>
              <w:top w:val="single" w:color="000000" w:sz="4" w:space="0"/>
              <w:left w:val="single" w:color="000000" w:sz="6" w:space="0"/>
              <w:bottom w:val="single" w:color="000000" w:sz="6" w:space="0"/>
              <w:right w:val="single" w:color="000000" w:sz="8" w:space="0"/>
            </w:tcBorders>
            <w:noWrap w:val="0"/>
            <w:tcMar>
              <w:top w:w="0" w:type="dxa"/>
              <w:left w:w="108" w:type="dxa"/>
              <w:bottom w:w="0" w:type="dxa"/>
              <w:right w:w="108" w:type="dxa"/>
            </w:tcMar>
            <w:vAlign w:val="top"/>
          </w:tcPr>
          <w:p w14:paraId="6D3FD904">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p>
          <w:p w14:paraId="0A7AB9FF">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p>
          <w:p w14:paraId="4188EF6E">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p>
          <w:p w14:paraId="6A073334">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p>
          <w:p w14:paraId="19420877">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p>
          <w:p w14:paraId="69ECA875">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p>
          <w:p w14:paraId="5FFAE175">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240" w:firstLineChars="100"/>
              <w:jc w:val="both"/>
              <w:textAlignment w:val="auto"/>
              <w:rPr>
                <w:rFonts w:hint="eastAsia" w:ascii="宋体" w:hAnsi="宋体" w:cs="宋体"/>
                <w:color w:val="auto"/>
                <w:kern w:val="0"/>
                <w:sz w:val="24"/>
              </w:rPr>
            </w:pPr>
          </w:p>
          <w:p w14:paraId="3F71D4CA">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240" w:firstLineChars="100"/>
              <w:jc w:val="both"/>
              <w:textAlignment w:val="auto"/>
              <w:rPr>
                <w:rFonts w:hint="eastAsia" w:ascii="宋体" w:hAnsi="宋体" w:cs="宋体"/>
                <w:color w:val="auto"/>
                <w:kern w:val="0"/>
                <w:sz w:val="24"/>
              </w:rPr>
            </w:pPr>
          </w:p>
          <w:p w14:paraId="26E4F7F1">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240" w:firstLineChars="100"/>
              <w:jc w:val="both"/>
              <w:textAlignment w:val="auto"/>
              <w:rPr>
                <w:rFonts w:hint="eastAsia" w:ascii="宋体" w:hAnsi="宋体" w:cs="宋体"/>
                <w:color w:val="auto"/>
                <w:kern w:val="0"/>
                <w:sz w:val="24"/>
              </w:rPr>
            </w:pPr>
          </w:p>
          <w:p w14:paraId="078D99FD">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240" w:firstLineChars="100"/>
              <w:jc w:val="both"/>
              <w:textAlignment w:val="auto"/>
              <w:rPr>
                <w:rFonts w:hint="eastAsia" w:ascii="宋体" w:hAnsi="宋体" w:cs="宋体"/>
                <w:color w:val="auto"/>
                <w:kern w:val="0"/>
                <w:sz w:val="24"/>
              </w:rPr>
            </w:pPr>
          </w:p>
          <w:p w14:paraId="5F1BB32C">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240" w:firstLineChars="100"/>
              <w:jc w:val="both"/>
              <w:textAlignment w:val="auto"/>
              <w:rPr>
                <w:rFonts w:hint="eastAsia" w:ascii="宋体" w:hAnsi="宋体" w:cs="宋体"/>
                <w:color w:val="auto"/>
                <w:kern w:val="0"/>
                <w:sz w:val="24"/>
              </w:rPr>
            </w:pPr>
          </w:p>
          <w:p w14:paraId="196828DB">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both"/>
              <w:textAlignment w:val="auto"/>
              <w:rPr>
                <w:rFonts w:hint="eastAsia" w:ascii="宋体" w:hAnsi="宋体" w:cs="宋体"/>
                <w:color w:val="auto"/>
                <w:kern w:val="0"/>
                <w:sz w:val="24"/>
              </w:rPr>
            </w:pPr>
          </w:p>
        </w:tc>
      </w:tr>
      <w:tr w14:paraId="0A3CBE01">
        <w:tblPrEx>
          <w:tblCellMar>
            <w:top w:w="0" w:type="dxa"/>
            <w:left w:w="0" w:type="dxa"/>
            <w:bottom w:w="0" w:type="dxa"/>
            <w:right w:w="0" w:type="dxa"/>
          </w:tblCellMar>
        </w:tblPrEx>
        <w:trPr>
          <w:trHeight w:val="4191" w:hRule="atLeast"/>
          <w:jc w:val="center"/>
        </w:trPr>
        <w:tc>
          <w:tcPr>
            <w:tcW w:w="1182" w:type="dxa"/>
            <w:tcBorders>
              <w:top w:val="single" w:color="000000" w:sz="6" w:space="0"/>
              <w:left w:val="single" w:color="000000" w:sz="8" w:space="0"/>
              <w:bottom w:val="single" w:color="auto" w:sz="4" w:space="0"/>
              <w:right w:val="single" w:color="000000" w:sz="6" w:space="0"/>
            </w:tcBorders>
            <w:noWrap w:val="0"/>
            <w:tcMar>
              <w:top w:w="0" w:type="dxa"/>
              <w:left w:w="108" w:type="dxa"/>
              <w:bottom w:w="0" w:type="dxa"/>
              <w:right w:w="108" w:type="dxa"/>
            </w:tcMar>
            <w:vAlign w:val="center"/>
          </w:tcPr>
          <w:p w14:paraId="41E733D1">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r>
              <w:rPr>
                <w:rFonts w:hint="eastAsia" w:ascii="宋体" w:hAnsi="宋体" w:cs="宋体"/>
                <w:color w:val="auto"/>
                <w:kern w:val="0"/>
                <w:sz w:val="24"/>
              </w:rPr>
              <w:t>相关工作主要业绩及研究成果</w:t>
            </w:r>
          </w:p>
          <w:p w14:paraId="48001168"/>
          <w:p w14:paraId="6AB39351">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p>
        </w:tc>
        <w:tc>
          <w:tcPr>
            <w:tcW w:w="7452" w:type="dxa"/>
            <w:gridSpan w:val="7"/>
            <w:tcBorders>
              <w:top w:val="single" w:color="000000" w:sz="6" w:space="0"/>
              <w:left w:val="single" w:color="000000" w:sz="6" w:space="0"/>
              <w:right w:val="single" w:color="000000" w:sz="8" w:space="0"/>
            </w:tcBorders>
            <w:noWrap w:val="0"/>
            <w:tcMar>
              <w:top w:w="0" w:type="dxa"/>
              <w:left w:w="108" w:type="dxa"/>
              <w:bottom w:w="0" w:type="dxa"/>
              <w:right w:w="108" w:type="dxa"/>
            </w:tcMar>
            <w:vAlign w:val="top"/>
          </w:tcPr>
          <w:p w14:paraId="1BE60F99">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p>
          <w:p w14:paraId="5844F7E1">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r>
              <w:rPr>
                <w:rFonts w:hint="eastAsia" w:ascii="宋体" w:hAnsi="宋体" w:cs="宋体"/>
                <w:color w:val="auto"/>
                <w:kern w:val="0"/>
                <w:sz w:val="24"/>
              </w:rPr>
              <w:t>（正文最多</w:t>
            </w:r>
            <w:r>
              <w:rPr>
                <w:rFonts w:hint="eastAsia" w:ascii="宋体" w:hAnsi="宋体" w:cs="宋体"/>
                <w:color w:val="auto"/>
                <w:kern w:val="0"/>
                <w:sz w:val="24"/>
                <w:lang w:val="en-US" w:eastAsia="zh-CN"/>
              </w:rPr>
              <w:t>10</w:t>
            </w:r>
            <w:r>
              <w:rPr>
                <w:rFonts w:hint="eastAsia" w:ascii="宋体" w:hAnsi="宋体" w:cs="宋体"/>
                <w:color w:val="auto"/>
                <w:kern w:val="0"/>
                <w:sz w:val="24"/>
              </w:rPr>
              <w:t>00个字符，附件主要包括参与国家和省市重大安全咨询与论证、重大科研等工作成果；参与安全检查、风险评估、隐患排查与整改、安全生产事故处理、企业安全技术与管理咨询等工作实绩；发表论文及专著的有关证明材料。）</w:t>
            </w:r>
          </w:p>
          <w:p w14:paraId="54084CFB">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p>
          <w:p w14:paraId="52603E3A">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p>
          <w:p w14:paraId="4DB6562F">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p>
          <w:p w14:paraId="288A176A"/>
          <w:p w14:paraId="5C9EBBA7"/>
          <w:p w14:paraId="5D0912A9"/>
          <w:p w14:paraId="055B694D">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p>
          <w:p w14:paraId="103A3A28"/>
          <w:p w14:paraId="47AE0FF1"/>
          <w:p w14:paraId="7E730CD0"/>
          <w:p w14:paraId="67BB7ED9"/>
          <w:p w14:paraId="4C71BE44">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480" w:firstLineChars="200"/>
              <w:jc w:val="left"/>
              <w:textAlignment w:val="auto"/>
              <w:rPr>
                <w:rFonts w:hint="eastAsia" w:ascii="宋体" w:hAnsi="宋体" w:cs="宋体"/>
                <w:color w:val="auto"/>
                <w:kern w:val="0"/>
                <w:sz w:val="24"/>
              </w:rPr>
            </w:pPr>
          </w:p>
        </w:tc>
      </w:tr>
      <w:tr w14:paraId="30C27D33">
        <w:tblPrEx>
          <w:tblCellMar>
            <w:top w:w="0" w:type="dxa"/>
            <w:left w:w="0" w:type="dxa"/>
            <w:bottom w:w="0" w:type="dxa"/>
            <w:right w:w="0" w:type="dxa"/>
          </w:tblCellMar>
        </w:tblPrEx>
        <w:trPr>
          <w:trHeight w:val="2344" w:hRule="atLeast"/>
          <w:jc w:val="center"/>
        </w:trPr>
        <w:tc>
          <w:tcPr>
            <w:tcW w:w="1182" w:type="dxa"/>
            <w:tcBorders>
              <w:top w:val="single" w:color="auto" w:sz="4" w:space="0"/>
              <w:left w:val="single" w:color="000000" w:sz="8" w:space="0"/>
              <w:bottom w:val="single" w:color="auto" w:sz="4" w:space="0"/>
              <w:right w:val="single" w:color="000000" w:sz="6" w:space="0"/>
            </w:tcBorders>
            <w:noWrap w:val="0"/>
            <w:tcMar>
              <w:top w:w="0" w:type="dxa"/>
              <w:left w:w="108" w:type="dxa"/>
              <w:bottom w:w="0" w:type="dxa"/>
              <w:right w:w="108" w:type="dxa"/>
            </w:tcMar>
            <w:vAlign w:val="center"/>
          </w:tcPr>
          <w:p w14:paraId="5270B0E6">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r>
              <w:rPr>
                <w:rFonts w:hint="eastAsia" w:ascii="宋体" w:hAnsi="宋体" w:cs="宋体"/>
                <w:color w:val="auto"/>
                <w:kern w:val="0"/>
                <w:sz w:val="24"/>
                <w:lang w:eastAsia="zh-CN"/>
              </w:rPr>
              <w:t>所在</w:t>
            </w:r>
            <w:r>
              <w:rPr>
                <w:rFonts w:hint="eastAsia" w:ascii="宋体" w:hAnsi="宋体" w:cs="宋体"/>
                <w:color w:val="auto"/>
                <w:kern w:val="0"/>
                <w:sz w:val="24"/>
              </w:rPr>
              <w:t>单位推荐意见</w:t>
            </w:r>
          </w:p>
        </w:tc>
        <w:tc>
          <w:tcPr>
            <w:tcW w:w="7452" w:type="dxa"/>
            <w:gridSpan w:val="7"/>
            <w:tcBorders>
              <w:top w:val="single" w:color="auto" w:sz="4" w:space="0"/>
              <w:left w:val="single" w:color="000000" w:sz="6" w:space="0"/>
              <w:bottom w:val="single" w:color="auto" w:sz="4" w:space="0"/>
              <w:right w:val="single" w:color="000000" w:sz="8" w:space="0"/>
            </w:tcBorders>
            <w:noWrap w:val="0"/>
            <w:tcMar>
              <w:top w:w="0" w:type="dxa"/>
              <w:left w:w="108" w:type="dxa"/>
              <w:bottom w:w="0" w:type="dxa"/>
              <w:right w:w="108" w:type="dxa"/>
            </w:tcMar>
            <w:vAlign w:val="top"/>
          </w:tcPr>
          <w:p w14:paraId="15FF6525"/>
          <w:p w14:paraId="49BE6D8B">
            <w:pPr>
              <w:keepNext w:val="0"/>
              <w:keepLines w:val="0"/>
              <w:pageBreakBefore w:val="0"/>
              <w:widowControl/>
              <w:kinsoku/>
              <w:wordWrap/>
              <w:overflowPunct/>
              <w:topLinePunct w:val="0"/>
              <w:autoSpaceDE/>
              <w:autoSpaceDN/>
              <w:bidi w:val="0"/>
              <w:adjustRightInd/>
              <w:snapToGrid/>
              <w:spacing w:beforeLines="0" w:afterLines="0" w:line="300" w:lineRule="exact"/>
              <w:ind w:firstLine="480" w:firstLineChars="200"/>
              <w:jc w:val="both"/>
              <w:textAlignment w:val="auto"/>
              <w:rPr>
                <w:rFonts w:hint="eastAsia" w:ascii="宋体" w:hAnsi="宋体" w:cs="宋体"/>
                <w:color w:val="auto"/>
                <w:kern w:val="0"/>
                <w:sz w:val="24"/>
                <w:lang w:eastAsia="zh-CN"/>
              </w:rPr>
            </w:pPr>
            <w:r>
              <w:rPr>
                <w:rFonts w:hint="eastAsia" w:ascii="宋体" w:hAnsi="宋体" w:eastAsia="宋体" w:cs="宋体"/>
                <w:color w:val="000000"/>
                <w:kern w:val="0"/>
                <w:sz w:val="24"/>
                <w:lang w:eastAsia="zh-CN"/>
              </w:rPr>
              <w:t>同意</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lang w:eastAsia="zh-CN"/>
              </w:rPr>
              <w:t>同志加入</w:t>
            </w:r>
            <w:r>
              <w:rPr>
                <w:rFonts w:hint="eastAsia" w:ascii="宋体" w:hAnsi="宋体" w:eastAsia="宋体" w:cs="宋体"/>
                <w:color w:val="000000"/>
                <w:kern w:val="0"/>
                <w:sz w:val="24"/>
                <w:lang w:val="en-US" w:eastAsia="zh-CN"/>
              </w:rPr>
              <w:t>市</w:t>
            </w:r>
            <w:r>
              <w:rPr>
                <w:rFonts w:hint="eastAsia" w:ascii="宋体" w:hAnsi="宋体" w:eastAsia="宋体" w:cs="宋体"/>
                <w:color w:val="000000"/>
                <w:kern w:val="0"/>
                <w:sz w:val="24"/>
                <w:lang w:eastAsia="zh-CN"/>
              </w:rPr>
              <w:t>应急管理</w:t>
            </w:r>
            <w:r>
              <w:rPr>
                <w:rFonts w:hint="eastAsia" w:ascii="宋体" w:hAnsi="宋体" w:eastAsia="宋体" w:cs="宋体"/>
                <w:color w:val="000000"/>
                <w:kern w:val="0"/>
                <w:sz w:val="24"/>
                <w:lang w:val="en-US" w:eastAsia="zh-CN"/>
              </w:rPr>
              <w:t>局</w:t>
            </w:r>
            <w:r>
              <w:rPr>
                <w:rFonts w:hint="eastAsia" w:ascii="宋体" w:hAnsi="宋体" w:eastAsia="宋体" w:cs="宋体"/>
                <w:color w:val="000000"/>
                <w:kern w:val="0"/>
                <w:sz w:val="24"/>
                <w:lang w:eastAsia="zh-CN"/>
              </w:rPr>
              <w:t>专家队伍，将优先安排其参与</w:t>
            </w:r>
            <w:r>
              <w:rPr>
                <w:rFonts w:hint="eastAsia" w:ascii="宋体" w:hAnsi="宋体" w:eastAsia="宋体" w:cs="宋体"/>
                <w:color w:val="000000"/>
                <w:kern w:val="0"/>
                <w:sz w:val="24"/>
                <w:lang w:val="en-US" w:eastAsia="zh-CN"/>
              </w:rPr>
              <w:t>市</w:t>
            </w:r>
            <w:r>
              <w:rPr>
                <w:rFonts w:hint="eastAsia" w:ascii="宋体" w:hAnsi="宋体" w:eastAsia="宋体" w:cs="宋体"/>
                <w:color w:val="000000"/>
                <w:kern w:val="0"/>
                <w:sz w:val="24"/>
                <w:lang w:eastAsia="zh-CN"/>
              </w:rPr>
              <w:t>应急管理</w:t>
            </w:r>
            <w:r>
              <w:rPr>
                <w:rFonts w:hint="eastAsia" w:ascii="宋体" w:hAnsi="宋体" w:eastAsia="宋体" w:cs="宋体"/>
                <w:color w:val="000000"/>
                <w:kern w:val="0"/>
                <w:sz w:val="24"/>
                <w:lang w:val="en-US" w:eastAsia="zh-CN"/>
              </w:rPr>
              <w:t>局</w:t>
            </w:r>
            <w:r>
              <w:rPr>
                <w:rFonts w:hint="eastAsia" w:ascii="宋体" w:hAnsi="宋体" w:eastAsia="宋体" w:cs="宋体"/>
                <w:color w:val="000000"/>
                <w:kern w:val="0"/>
                <w:sz w:val="24"/>
                <w:lang w:eastAsia="zh-CN"/>
              </w:rPr>
              <w:t>相关任务。</w:t>
            </w:r>
          </w:p>
          <w:p w14:paraId="316B8957">
            <w:pPr>
              <w:pStyle w:val="6"/>
              <w:spacing w:beforeLines="0" w:afterLines="0"/>
              <w:rPr>
                <w:rFonts w:hint="eastAsia"/>
                <w:color w:val="auto"/>
                <w:lang w:eastAsia="zh-CN"/>
              </w:rPr>
            </w:pPr>
          </w:p>
          <w:p w14:paraId="7CDE2C7A">
            <w:pPr>
              <w:keepNext w:val="0"/>
              <w:keepLines w:val="0"/>
              <w:pageBreakBefore w:val="0"/>
              <w:widowControl/>
              <w:kinsoku/>
              <w:wordWrap/>
              <w:overflowPunct/>
              <w:topLinePunct w:val="0"/>
              <w:autoSpaceDE/>
              <w:autoSpaceDN/>
              <w:bidi w:val="0"/>
              <w:adjustRightInd/>
              <w:snapToGrid/>
              <w:spacing w:beforeLines="0" w:afterLines="0" w:line="300" w:lineRule="exact"/>
              <w:ind w:firstLine="1920" w:firstLineChars="800"/>
              <w:jc w:val="both"/>
              <w:textAlignment w:val="auto"/>
              <w:rPr>
                <w:rFonts w:hint="eastAsia" w:ascii="宋体" w:hAnsi="宋体" w:cs="宋体"/>
                <w:color w:val="auto"/>
                <w:kern w:val="0"/>
                <w:sz w:val="24"/>
                <w:lang w:eastAsia="zh-CN"/>
              </w:rPr>
            </w:pPr>
          </w:p>
          <w:p w14:paraId="6A4AE974">
            <w:pPr>
              <w:keepNext w:val="0"/>
              <w:keepLines w:val="0"/>
              <w:pageBreakBefore w:val="0"/>
              <w:widowControl/>
              <w:kinsoku/>
              <w:wordWrap/>
              <w:overflowPunct/>
              <w:topLinePunct w:val="0"/>
              <w:autoSpaceDE/>
              <w:autoSpaceDN/>
              <w:bidi w:val="0"/>
              <w:adjustRightInd/>
              <w:snapToGrid/>
              <w:spacing w:beforeLines="0" w:afterLines="0" w:line="300" w:lineRule="exact"/>
              <w:ind w:firstLine="1920" w:firstLineChars="800"/>
              <w:jc w:val="both"/>
              <w:textAlignment w:val="auto"/>
              <w:rPr>
                <w:rFonts w:hint="eastAsia" w:ascii="宋体" w:hAnsi="宋体" w:cs="宋体"/>
                <w:color w:val="auto"/>
                <w:kern w:val="0"/>
                <w:sz w:val="24"/>
              </w:rPr>
            </w:pPr>
            <w:r>
              <w:rPr>
                <w:rFonts w:hint="eastAsia" w:ascii="宋体" w:hAnsi="宋体" w:cs="宋体"/>
                <w:color w:val="auto"/>
                <w:kern w:val="0"/>
                <w:sz w:val="24"/>
                <w:lang w:eastAsia="zh-CN"/>
              </w:rPr>
              <w:t>（盖</w:t>
            </w:r>
            <w:r>
              <w:rPr>
                <w:rFonts w:hint="eastAsia" w:ascii="宋体" w:hAnsi="宋体" w:cs="宋体"/>
                <w:color w:val="auto"/>
                <w:kern w:val="0"/>
                <w:sz w:val="24"/>
              </w:rPr>
              <w:t>章）</w:t>
            </w:r>
          </w:p>
          <w:p w14:paraId="7D21BEC4">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 xml:space="preserve">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 xml:space="preserve">月  </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日</w:t>
            </w:r>
          </w:p>
        </w:tc>
      </w:tr>
      <w:tr w14:paraId="578AC9E0">
        <w:tblPrEx>
          <w:tblCellMar>
            <w:top w:w="0" w:type="dxa"/>
            <w:left w:w="0" w:type="dxa"/>
            <w:bottom w:w="0" w:type="dxa"/>
            <w:right w:w="0" w:type="dxa"/>
          </w:tblCellMar>
        </w:tblPrEx>
        <w:trPr>
          <w:trHeight w:val="2233" w:hRule="atLeast"/>
          <w:jc w:val="center"/>
        </w:trPr>
        <w:tc>
          <w:tcPr>
            <w:tcW w:w="1182" w:type="dxa"/>
            <w:tcBorders>
              <w:top w:val="single" w:color="auto" w:sz="4" w:space="0"/>
              <w:left w:val="single" w:color="000000" w:sz="8" w:space="0"/>
              <w:bottom w:val="single" w:color="000000" w:sz="6" w:space="0"/>
              <w:right w:val="single" w:color="000000" w:sz="6" w:space="0"/>
            </w:tcBorders>
            <w:noWrap w:val="0"/>
            <w:tcMar>
              <w:top w:w="0" w:type="dxa"/>
              <w:left w:w="108" w:type="dxa"/>
              <w:bottom w:w="0" w:type="dxa"/>
              <w:right w:w="108" w:type="dxa"/>
            </w:tcMar>
            <w:vAlign w:val="center"/>
          </w:tcPr>
          <w:p w14:paraId="2F687961">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r>
              <w:rPr>
                <w:rFonts w:hint="eastAsia" w:ascii="宋体" w:hAnsi="宋体" w:cs="宋体"/>
                <w:color w:val="auto"/>
                <w:kern w:val="0"/>
                <w:sz w:val="24"/>
                <w:lang w:val="en-US" w:eastAsia="zh-CN"/>
              </w:rPr>
              <w:t>行业主管部门或县市区应急管理部门</w:t>
            </w:r>
            <w:r>
              <w:rPr>
                <w:rFonts w:hint="eastAsia" w:ascii="宋体" w:hAnsi="宋体" w:cs="宋体"/>
                <w:color w:val="auto"/>
                <w:kern w:val="0"/>
                <w:sz w:val="24"/>
              </w:rPr>
              <w:t>意见</w:t>
            </w:r>
          </w:p>
        </w:tc>
        <w:tc>
          <w:tcPr>
            <w:tcW w:w="7452" w:type="dxa"/>
            <w:gridSpan w:val="7"/>
            <w:tcBorders>
              <w:top w:val="single" w:color="auto" w:sz="4" w:space="0"/>
              <w:left w:val="single" w:color="000000" w:sz="6" w:space="0"/>
              <w:bottom w:val="single" w:color="000000" w:sz="6" w:space="0"/>
              <w:right w:val="single" w:color="000000" w:sz="8" w:space="0"/>
            </w:tcBorders>
            <w:noWrap w:val="0"/>
            <w:tcMar>
              <w:top w:w="0" w:type="dxa"/>
              <w:left w:w="108" w:type="dxa"/>
              <w:bottom w:w="0" w:type="dxa"/>
              <w:right w:w="108" w:type="dxa"/>
            </w:tcMar>
            <w:vAlign w:val="top"/>
          </w:tcPr>
          <w:p w14:paraId="7398CE12">
            <w:pPr>
              <w:keepNext w:val="0"/>
              <w:keepLines w:val="0"/>
              <w:pageBreakBefore w:val="0"/>
              <w:widowControl/>
              <w:kinsoku/>
              <w:wordWrap/>
              <w:overflowPunct/>
              <w:topLinePunct w:val="0"/>
              <w:autoSpaceDE/>
              <w:autoSpaceDN/>
              <w:bidi w:val="0"/>
              <w:adjustRightInd/>
              <w:snapToGrid/>
              <w:spacing w:beforeLines="0" w:afterLines="0" w:line="300" w:lineRule="exact"/>
              <w:ind w:firstLine="1920" w:firstLineChars="800"/>
              <w:jc w:val="both"/>
              <w:textAlignment w:val="auto"/>
              <w:rPr>
                <w:rFonts w:hint="eastAsia" w:ascii="宋体" w:hAnsi="宋体" w:cs="宋体"/>
                <w:color w:val="auto"/>
                <w:kern w:val="0"/>
                <w:sz w:val="24"/>
                <w:lang w:eastAsia="zh-CN"/>
              </w:rPr>
            </w:pPr>
          </w:p>
          <w:p w14:paraId="4CF11DE2">
            <w:pPr>
              <w:keepNext w:val="0"/>
              <w:keepLines w:val="0"/>
              <w:pageBreakBefore w:val="0"/>
              <w:widowControl/>
              <w:kinsoku/>
              <w:wordWrap/>
              <w:overflowPunct/>
              <w:topLinePunct w:val="0"/>
              <w:autoSpaceDE/>
              <w:autoSpaceDN/>
              <w:bidi w:val="0"/>
              <w:adjustRightInd/>
              <w:snapToGrid/>
              <w:spacing w:beforeLines="0" w:afterLines="0" w:line="300" w:lineRule="exact"/>
              <w:ind w:firstLine="1920" w:firstLineChars="800"/>
              <w:jc w:val="both"/>
              <w:textAlignment w:val="auto"/>
              <w:rPr>
                <w:rFonts w:hint="eastAsia" w:ascii="宋体" w:hAnsi="宋体" w:cs="宋体"/>
                <w:color w:val="auto"/>
                <w:kern w:val="0"/>
                <w:sz w:val="24"/>
                <w:lang w:eastAsia="zh-CN"/>
              </w:rPr>
            </w:pPr>
          </w:p>
          <w:p w14:paraId="65BB0C12">
            <w:pPr>
              <w:pStyle w:val="6"/>
              <w:rPr>
                <w:rFonts w:hint="eastAsia" w:ascii="宋体" w:hAnsi="宋体" w:cs="宋体"/>
                <w:color w:val="auto"/>
                <w:kern w:val="0"/>
                <w:sz w:val="24"/>
                <w:lang w:eastAsia="zh-CN"/>
              </w:rPr>
            </w:pPr>
          </w:p>
          <w:p w14:paraId="44D612B2">
            <w:pPr>
              <w:pStyle w:val="6"/>
              <w:rPr>
                <w:rFonts w:hint="eastAsia" w:ascii="宋体" w:hAnsi="宋体" w:cs="宋体"/>
                <w:color w:val="auto"/>
                <w:kern w:val="0"/>
                <w:sz w:val="24"/>
                <w:lang w:eastAsia="zh-CN"/>
              </w:rPr>
            </w:pPr>
          </w:p>
          <w:p w14:paraId="610C2410">
            <w:pPr>
              <w:keepNext w:val="0"/>
              <w:keepLines w:val="0"/>
              <w:pageBreakBefore w:val="0"/>
              <w:widowControl/>
              <w:kinsoku/>
              <w:wordWrap/>
              <w:overflowPunct/>
              <w:topLinePunct w:val="0"/>
              <w:autoSpaceDE/>
              <w:autoSpaceDN/>
              <w:bidi w:val="0"/>
              <w:adjustRightInd/>
              <w:snapToGrid/>
              <w:spacing w:beforeLines="0" w:afterLines="0" w:line="300" w:lineRule="exact"/>
              <w:ind w:firstLine="1920" w:firstLineChars="800"/>
              <w:jc w:val="both"/>
              <w:textAlignment w:val="auto"/>
              <w:rPr>
                <w:rFonts w:hint="eastAsia" w:ascii="宋体" w:hAnsi="宋体" w:cs="宋体"/>
                <w:color w:val="auto"/>
                <w:kern w:val="0"/>
                <w:sz w:val="24"/>
                <w:lang w:eastAsia="zh-CN"/>
              </w:rPr>
            </w:pPr>
          </w:p>
          <w:p w14:paraId="0336BC48">
            <w:pPr>
              <w:keepNext w:val="0"/>
              <w:keepLines w:val="0"/>
              <w:pageBreakBefore w:val="0"/>
              <w:widowControl/>
              <w:kinsoku/>
              <w:wordWrap/>
              <w:overflowPunct/>
              <w:topLinePunct w:val="0"/>
              <w:autoSpaceDE/>
              <w:autoSpaceDN/>
              <w:bidi w:val="0"/>
              <w:adjustRightInd/>
              <w:snapToGrid/>
              <w:spacing w:beforeLines="0" w:afterLines="0" w:line="300" w:lineRule="exact"/>
              <w:ind w:firstLine="1920" w:firstLineChars="800"/>
              <w:jc w:val="both"/>
              <w:textAlignment w:val="auto"/>
              <w:rPr>
                <w:rFonts w:hint="eastAsia" w:ascii="宋体" w:hAnsi="宋体" w:cs="宋体"/>
                <w:color w:val="auto"/>
                <w:kern w:val="0"/>
                <w:sz w:val="24"/>
              </w:rPr>
            </w:pPr>
            <w:r>
              <w:rPr>
                <w:rFonts w:hint="eastAsia" w:ascii="宋体" w:hAnsi="宋体" w:cs="宋体"/>
                <w:color w:val="auto"/>
                <w:kern w:val="0"/>
                <w:sz w:val="24"/>
                <w:lang w:eastAsia="zh-CN"/>
              </w:rPr>
              <w:t>（盖</w:t>
            </w:r>
            <w:r>
              <w:rPr>
                <w:rFonts w:hint="eastAsia" w:ascii="宋体" w:hAnsi="宋体" w:cs="宋体"/>
                <w:color w:val="auto"/>
                <w:kern w:val="0"/>
                <w:sz w:val="24"/>
              </w:rPr>
              <w:t>章）</w:t>
            </w:r>
          </w:p>
          <w:p w14:paraId="54BA5539">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lang w:val="en-US" w:eastAsia="zh-CN"/>
              </w:rPr>
            </w:pPr>
            <w:r>
              <w:rPr>
                <w:rFonts w:hint="eastAsia" w:ascii="宋体" w:hAnsi="宋体" w:cs="宋体"/>
                <w:color w:val="auto"/>
                <w:kern w:val="0"/>
                <w:sz w:val="24"/>
              </w:rPr>
              <w:t xml:space="preserve">                                           </w:t>
            </w:r>
            <w:r>
              <w:rPr>
                <w:rFonts w:hint="eastAsia" w:ascii="宋体" w:hAnsi="宋体" w:cs="宋体"/>
                <w:color w:val="auto"/>
                <w:kern w:val="0"/>
                <w:sz w:val="24"/>
                <w:lang w:val="en-US" w:eastAsia="zh-CN"/>
              </w:rPr>
              <w:t xml:space="preserve">    </w:t>
            </w:r>
          </w:p>
          <w:p w14:paraId="762F6D45">
            <w:pPr>
              <w:keepNext w:val="0"/>
              <w:keepLines w:val="0"/>
              <w:pageBreakBefore w:val="0"/>
              <w:widowControl/>
              <w:kinsoku/>
              <w:wordWrap/>
              <w:overflowPunct/>
              <w:topLinePunct w:val="0"/>
              <w:autoSpaceDE/>
              <w:autoSpaceDN/>
              <w:bidi w:val="0"/>
              <w:adjustRightInd/>
              <w:snapToGrid/>
              <w:spacing w:beforeLines="0" w:afterLines="0" w:line="300" w:lineRule="exact"/>
              <w:ind w:firstLine="5520" w:firstLineChars="2300"/>
              <w:jc w:val="both"/>
              <w:textAlignment w:val="auto"/>
              <w:rPr>
                <w:rFonts w:hint="eastAsia" w:ascii="宋体" w:hAnsi="宋体" w:cs="宋体"/>
                <w:color w:val="auto"/>
                <w:kern w:val="0"/>
                <w:sz w:val="24"/>
              </w:rPr>
            </w:pPr>
            <w:r>
              <w:rPr>
                <w:rFonts w:hint="eastAsia" w:ascii="宋体" w:hAnsi="宋体" w:cs="宋体"/>
                <w:color w:val="auto"/>
                <w:kern w:val="0"/>
                <w:sz w:val="24"/>
                <w:lang w:val="en-US" w:eastAsia="zh-CN"/>
              </w:rPr>
              <w:t xml:space="preserve">  </w:t>
            </w:r>
            <w:r>
              <w:rPr>
                <w:rFonts w:hint="eastAsia" w:ascii="宋体" w:hAnsi="宋体" w:cs="宋体"/>
                <w:color w:val="auto"/>
                <w:kern w:val="0"/>
                <w:sz w:val="24"/>
              </w:rPr>
              <w:t xml:space="preserve">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 xml:space="preserve">月  </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日</w:t>
            </w:r>
          </w:p>
        </w:tc>
      </w:tr>
      <w:tr w14:paraId="0A1F239E">
        <w:tblPrEx>
          <w:tblCellMar>
            <w:top w:w="0" w:type="dxa"/>
            <w:left w:w="0" w:type="dxa"/>
            <w:bottom w:w="0" w:type="dxa"/>
            <w:right w:w="0" w:type="dxa"/>
          </w:tblCellMar>
        </w:tblPrEx>
        <w:trPr>
          <w:trHeight w:val="988" w:hRule="atLeast"/>
          <w:jc w:val="center"/>
        </w:trPr>
        <w:tc>
          <w:tcPr>
            <w:tcW w:w="1182" w:type="dxa"/>
            <w:tcBorders>
              <w:top w:val="single" w:color="000000" w:sz="6" w:space="0"/>
              <w:left w:val="single" w:color="000000" w:sz="8" w:space="0"/>
              <w:bottom w:val="single" w:color="000000" w:sz="6" w:space="0"/>
              <w:right w:val="single" w:color="000000" w:sz="6" w:space="0"/>
            </w:tcBorders>
            <w:noWrap w:val="0"/>
            <w:tcMar>
              <w:top w:w="0" w:type="dxa"/>
              <w:left w:w="108" w:type="dxa"/>
              <w:bottom w:w="0" w:type="dxa"/>
              <w:right w:w="108" w:type="dxa"/>
            </w:tcMar>
            <w:vAlign w:val="center"/>
          </w:tcPr>
          <w:p w14:paraId="4216A6B5">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jc w:val="both"/>
              <w:textAlignment w:val="auto"/>
              <w:rPr>
                <w:rFonts w:hint="eastAsia" w:ascii="宋体" w:hAnsi="宋体" w:cs="宋体"/>
                <w:color w:val="auto"/>
                <w:kern w:val="0"/>
                <w:sz w:val="24"/>
              </w:rPr>
            </w:pPr>
            <w:r>
              <w:rPr>
                <w:rFonts w:hint="eastAsia" w:ascii="宋体" w:hAnsi="宋体" w:cs="宋体"/>
                <w:color w:val="auto"/>
                <w:kern w:val="0"/>
                <w:sz w:val="24"/>
                <w:lang w:val="en-US" w:eastAsia="zh-CN"/>
              </w:rPr>
              <w:t>市应急管理局</w:t>
            </w:r>
            <w:r>
              <w:rPr>
                <w:rFonts w:hint="eastAsia" w:ascii="宋体" w:hAnsi="宋体" w:cs="宋体"/>
                <w:color w:val="auto"/>
                <w:kern w:val="0"/>
                <w:sz w:val="24"/>
                <w:lang w:eastAsia="zh-CN"/>
              </w:rPr>
              <w:t>审批</w:t>
            </w:r>
            <w:r>
              <w:rPr>
                <w:rFonts w:hint="eastAsia" w:ascii="宋体" w:hAnsi="宋体" w:cs="宋体"/>
                <w:color w:val="auto"/>
                <w:kern w:val="0"/>
                <w:sz w:val="24"/>
              </w:rPr>
              <w:t>意见</w:t>
            </w:r>
          </w:p>
        </w:tc>
        <w:tc>
          <w:tcPr>
            <w:tcW w:w="7452" w:type="dxa"/>
            <w:gridSpan w:val="7"/>
            <w:tcBorders>
              <w:top w:val="single" w:color="000000" w:sz="6" w:space="0"/>
              <w:left w:val="single" w:color="000000" w:sz="6" w:space="0"/>
              <w:bottom w:val="single" w:color="000000" w:sz="6" w:space="0"/>
              <w:right w:val="single" w:color="000000" w:sz="8" w:space="0"/>
            </w:tcBorders>
            <w:noWrap w:val="0"/>
            <w:tcMar>
              <w:top w:w="0" w:type="dxa"/>
              <w:left w:w="108" w:type="dxa"/>
              <w:bottom w:w="0" w:type="dxa"/>
              <w:right w:w="108" w:type="dxa"/>
            </w:tcMar>
            <w:vAlign w:val="top"/>
          </w:tcPr>
          <w:p w14:paraId="33E4DC0F">
            <w:pPr>
              <w:keepNext w:val="0"/>
              <w:keepLines w:val="0"/>
              <w:pageBreakBefore w:val="0"/>
              <w:widowControl/>
              <w:kinsoku/>
              <w:wordWrap/>
              <w:overflowPunct/>
              <w:topLinePunct w:val="0"/>
              <w:autoSpaceDE/>
              <w:autoSpaceDN/>
              <w:bidi w:val="0"/>
              <w:adjustRightInd/>
              <w:snapToGrid/>
              <w:spacing w:beforeLines="0" w:afterLines="0" w:line="300" w:lineRule="exact"/>
              <w:ind w:left="1680" w:leftChars="0" w:hanging="1680" w:hangingChars="700"/>
              <w:jc w:val="both"/>
              <w:textAlignment w:val="auto"/>
              <w:rPr>
                <w:rFonts w:hint="eastAsia" w:ascii="宋体" w:hAnsi="宋体" w:cs="宋体"/>
                <w:color w:val="auto"/>
                <w:kern w:val="0"/>
                <w:sz w:val="24"/>
              </w:rPr>
            </w:pPr>
            <w:r>
              <w:rPr>
                <w:rFonts w:hint="eastAsia" w:ascii="宋体" w:hAnsi="宋体" w:cs="宋体"/>
                <w:color w:val="auto"/>
                <w:kern w:val="0"/>
                <w:sz w:val="24"/>
              </w:rPr>
              <w:t xml:space="preserve"> </w:t>
            </w:r>
          </w:p>
          <w:p w14:paraId="03EAA46D">
            <w:pPr>
              <w:keepNext w:val="0"/>
              <w:keepLines w:val="0"/>
              <w:pageBreakBefore w:val="0"/>
              <w:widowControl/>
              <w:kinsoku/>
              <w:wordWrap/>
              <w:overflowPunct/>
              <w:topLinePunct w:val="0"/>
              <w:autoSpaceDE/>
              <w:autoSpaceDN/>
              <w:bidi w:val="0"/>
              <w:adjustRightInd/>
              <w:snapToGrid/>
              <w:spacing w:beforeLines="0" w:afterLines="0" w:line="300" w:lineRule="exact"/>
              <w:ind w:left="1680" w:leftChars="0" w:hanging="1680" w:hangingChars="700"/>
              <w:jc w:val="both"/>
              <w:textAlignment w:val="auto"/>
              <w:rPr>
                <w:rFonts w:hint="eastAsia" w:ascii="宋体" w:hAnsi="宋体" w:cs="宋体"/>
                <w:color w:val="auto"/>
                <w:kern w:val="0"/>
                <w:sz w:val="24"/>
              </w:rPr>
            </w:pPr>
          </w:p>
          <w:p w14:paraId="79F378EB"/>
          <w:p w14:paraId="465B0DD0">
            <w:pPr>
              <w:keepNext w:val="0"/>
              <w:keepLines w:val="0"/>
              <w:pageBreakBefore w:val="0"/>
              <w:widowControl/>
              <w:kinsoku/>
              <w:wordWrap/>
              <w:overflowPunct/>
              <w:topLinePunct w:val="0"/>
              <w:autoSpaceDE/>
              <w:autoSpaceDN/>
              <w:bidi w:val="0"/>
              <w:adjustRightInd/>
              <w:snapToGrid/>
              <w:spacing w:beforeLines="0" w:afterLines="0" w:line="300" w:lineRule="exact"/>
              <w:jc w:val="both"/>
              <w:textAlignment w:val="auto"/>
              <w:rPr>
                <w:rFonts w:hint="eastAsia" w:ascii="宋体" w:hAnsi="宋体" w:cs="宋体"/>
                <w:color w:val="auto"/>
                <w:kern w:val="0"/>
                <w:sz w:val="24"/>
                <w:lang w:eastAsia="zh-CN"/>
              </w:rPr>
            </w:pPr>
          </w:p>
          <w:p w14:paraId="626BC8A5">
            <w:pPr>
              <w:keepNext w:val="0"/>
              <w:keepLines w:val="0"/>
              <w:pageBreakBefore w:val="0"/>
              <w:widowControl/>
              <w:kinsoku/>
              <w:wordWrap/>
              <w:overflowPunct/>
              <w:topLinePunct w:val="0"/>
              <w:autoSpaceDE/>
              <w:autoSpaceDN/>
              <w:bidi w:val="0"/>
              <w:adjustRightInd/>
              <w:snapToGrid/>
              <w:spacing w:beforeLines="0" w:afterLines="0" w:line="300" w:lineRule="exact"/>
              <w:ind w:firstLine="1920" w:firstLineChars="800"/>
              <w:jc w:val="both"/>
              <w:textAlignment w:val="auto"/>
              <w:rPr>
                <w:rFonts w:hint="eastAsia" w:ascii="宋体" w:hAnsi="宋体" w:cs="宋体"/>
                <w:color w:val="auto"/>
                <w:kern w:val="0"/>
                <w:sz w:val="24"/>
              </w:rPr>
            </w:pPr>
            <w:r>
              <w:rPr>
                <w:rFonts w:hint="eastAsia" w:ascii="宋体" w:hAnsi="宋体" w:cs="宋体"/>
                <w:color w:val="auto"/>
                <w:kern w:val="0"/>
                <w:sz w:val="24"/>
                <w:lang w:eastAsia="zh-CN"/>
              </w:rPr>
              <w:t>（盖</w:t>
            </w:r>
            <w:r>
              <w:rPr>
                <w:rFonts w:hint="eastAsia" w:ascii="宋体" w:hAnsi="宋体" w:cs="宋体"/>
                <w:color w:val="auto"/>
                <w:kern w:val="0"/>
                <w:sz w:val="24"/>
              </w:rPr>
              <w:t>章）</w:t>
            </w:r>
          </w:p>
          <w:p w14:paraId="430393C5">
            <w:pPr>
              <w:rPr>
                <w:rFonts w:hint="eastAsia"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 xml:space="preserve">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 xml:space="preserve">月 </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 xml:space="preserve"> 日</w:t>
            </w:r>
          </w:p>
        </w:tc>
      </w:tr>
    </w:tbl>
    <w:p w14:paraId="060DBA6C">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both"/>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备注：</w:t>
      </w:r>
      <w:r>
        <w:rPr>
          <w:rFonts w:hint="eastAsia" w:ascii="宋体" w:hAnsi="宋体" w:eastAsia="宋体" w:cs="宋体"/>
          <w:color w:val="auto"/>
          <w:kern w:val="0"/>
          <w:sz w:val="24"/>
          <w:lang w:val="en-US" w:eastAsia="zh-CN"/>
        </w:rPr>
        <w:t xml:space="preserve">1.请认真填写表格内容，A4纸打印； </w:t>
      </w:r>
    </w:p>
    <w:p w14:paraId="408FD120">
      <w:pPr>
        <w:keepNext w:val="0"/>
        <w:keepLines w:val="0"/>
        <w:pageBreakBefore w:val="0"/>
        <w:widowControl/>
        <w:numPr>
          <w:ilvl w:val="0"/>
          <w:numId w:val="0"/>
        </w:numPr>
        <w:kinsoku/>
        <w:wordWrap/>
        <w:overflowPunct/>
        <w:topLinePunct w:val="0"/>
        <w:autoSpaceDE/>
        <w:autoSpaceDN/>
        <w:bidi w:val="0"/>
        <w:adjustRightInd/>
        <w:snapToGrid/>
        <w:spacing w:beforeLines="0" w:afterLines="0" w:line="300" w:lineRule="exact"/>
        <w:ind w:left="720" w:leftChars="0"/>
        <w:jc w:val="both"/>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2.本表一式四份，市应急管理局主管科室、推荐科室、所在单位、个人各存一份。</w:t>
      </w:r>
    </w:p>
    <w:p w14:paraId="0305041C">
      <w:pPr>
        <w:rPr>
          <w:rFonts w:hint="eastAsia" w:ascii="黑体" w:hAnsi="黑体" w:eastAsia="黑体" w:cs="黑体"/>
          <w:b w:val="0"/>
          <w:bCs w:val="0"/>
          <w:sz w:val="32"/>
          <w:szCs w:val="32"/>
        </w:rPr>
      </w:pPr>
    </w:p>
    <w:p w14:paraId="2566F1A6">
      <w:pPr>
        <w:rPr>
          <w:rFonts w:hint="eastAsia" w:ascii="黑体" w:hAnsi="黑体" w:eastAsia="黑体" w:cs="黑体"/>
          <w:b w:val="0"/>
          <w:bCs w:val="0"/>
          <w:sz w:val="32"/>
          <w:szCs w:val="32"/>
        </w:rPr>
      </w:pPr>
      <w:r>
        <w:rPr>
          <w:rFonts w:hint="eastAsia" w:ascii="黑体" w:hAnsi="黑体" w:eastAsia="黑体" w:cs="黑体"/>
          <w:b w:val="0"/>
          <w:bCs w:val="0"/>
          <w:sz w:val="32"/>
          <w:szCs w:val="32"/>
        </w:rPr>
        <w:t>附件2</w:t>
      </w:r>
    </w:p>
    <w:p w14:paraId="1B9F61E8">
      <w:pPr>
        <w:pStyle w:val="6"/>
        <w:numPr>
          <w:ilvl w:val="0"/>
          <w:numId w:val="0"/>
        </w:numPr>
        <w:rPr>
          <w:rFonts w:hint="eastAsia"/>
          <w:lang w:val="en-US" w:eastAsia="zh-CN"/>
        </w:rPr>
      </w:pPr>
    </w:p>
    <w:p w14:paraId="1342BB6A">
      <w:pPr>
        <w:pStyle w:val="3"/>
        <w:widowControl w:val="0"/>
        <w:pBdr>
          <w:top w:val="none" w:color="auto" w:sz="0" w:space="0"/>
          <w:left w:val="none" w:color="auto" w:sz="0" w:space="0"/>
          <w:bottom w:val="none" w:color="auto" w:sz="0" w:space="0"/>
          <w:right w:val="none" w:color="auto" w:sz="0" w:space="0"/>
        </w:pBdr>
        <w:shd w:val="clear"/>
        <w:spacing w:before="0" w:beforeLines="0" w:beforeAutospacing="0" w:after="0" w:afterLines="0" w:afterAutospacing="0" w:line="600" w:lineRule="exact"/>
        <w:jc w:val="center"/>
        <w:rPr>
          <w:rFonts w:hint="default" w:ascii="宋体" w:hAnsi="宋体" w:eastAsia="宋体" w:cs="Times New Roman"/>
          <w:b/>
          <w:color w:val="auto"/>
          <w:sz w:val="36"/>
          <w:szCs w:val="36"/>
          <w:lang w:val="en-US" w:eastAsia="zh-CN"/>
        </w:rPr>
      </w:pPr>
      <w:r>
        <w:rPr>
          <w:rFonts w:hint="eastAsia" w:ascii="宋体" w:hAnsi="宋体" w:eastAsia="宋体" w:cs="Times New Roman"/>
          <w:b/>
          <w:color w:val="auto"/>
          <w:sz w:val="44"/>
          <w:szCs w:val="44"/>
          <w:lang w:val="en-US" w:eastAsia="zh-CN"/>
        </w:rPr>
        <w:t>襄阳市</w:t>
      </w:r>
      <w:r>
        <w:rPr>
          <w:rFonts w:hint="default" w:ascii="宋体" w:hAnsi="宋体" w:eastAsia="宋体" w:cs="Times New Roman"/>
          <w:b/>
          <w:color w:val="auto"/>
          <w:sz w:val="44"/>
          <w:szCs w:val="44"/>
          <w:lang w:val="en-US" w:eastAsia="zh-CN"/>
        </w:rPr>
        <w:t>应急管理专家</w:t>
      </w:r>
      <w:r>
        <w:rPr>
          <w:rFonts w:hint="eastAsia" w:ascii="宋体" w:hAnsi="宋体" w:eastAsia="宋体" w:cs="Times New Roman"/>
          <w:b/>
          <w:color w:val="auto"/>
          <w:sz w:val="44"/>
          <w:szCs w:val="44"/>
          <w:lang w:val="en-US" w:eastAsia="zh-CN"/>
        </w:rPr>
        <w:t>职业操守</w:t>
      </w:r>
      <w:r>
        <w:rPr>
          <w:rFonts w:hint="default" w:ascii="宋体" w:hAnsi="宋体" w:eastAsia="宋体" w:cs="Times New Roman"/>
          <w:b/>
          <w:color w:val="auto"/>
          <w:sz w:val="44"/>
          <w:szCs w:val="44"/>
          <w:lang w:val="en-US" w:eastAsia="zh-CN"/>
        </w:rPr>
        <w:t>承诺书</w:t>
      </w:r>
    </w:p>
    <w:p w14:paraId="39D23ADD">
      <w:pPr>
        <w:pStyle w:val="3"/>
        <w:widowControl w:val="0"/>
        <w:pBdr>
          <w:top w:val="none" w:color="auto" w:sz="0" w:space="0"/>
          <w:left w:val="none" w:color="auto" w:sz="0" w:space="0"/>
          <w:bottom w:val="none" w:color="auto" w:sz="0" w:space="0"/>
          <w:right w:val="none" w:color="auto" w:sz="0" w:space="0"/>
        </w:pBdr>
        <w:shd w:val="clear"/>
        <w:spacing w:before="0" w:beforeLines="0" w:beforeAutospacing="0" w:after="0" w:afterLines="0" w:afterAutospacing="0" w:line="600" w:lineRule="exact"/>
        <w:ind w:firstLine="640" w:firstLineChars="200"/>
        <w:rPr>
          <w:rFonts w:hint="eastAsia" w:ascii="仿宋_GB2312" w:hAnsi="仿宋_GB2312" w:eastAsia="仿宋_GB2312" w:cs="仿宋_GB2312"/>
          <w:color w:val="000000"/>
          <w:kern w:val="0"/>
          <w:sz w:val="32"/>
          <w:szCs w:val="32"/>
        </w:rPr>
      </w:pPr>
    </w:p>
    <w:p w14:paraId="66986930">
      <w:pPr>
        <w:pStyle w:val="3"/>
        <w:widowControl w:val="0"/>
        <w:pBdr>
          <w:top w:val="none" w:color="auto" w:sz="0" w:space="0"/>
          <w:left w:val="none" w:color="auto" w:sz="0" w:space="0"/>
          <w:bottom w:val="none" w:color="auto" w:sz="0" w:space="0"/>
          <w:right w:val="none" w:color="auto" w:sz="0" w:space="0"/>
        </w:pBdr>
        <w:shd w:val="clear"/>
        <w:spacing w:before="0" w:beforeLines="0" w:beforeAutospacing="0" w:after="0" w:afterLines="0" w:afterAutospacing="0" w:line="600" w:lineRule="exact"/>
        <w:ind w:firstLine="640" w:firstLineChars="200"/>
        <w:rPr>
          <w:rFonts w:hint="eastAsia" w:ascii="仿宋_GB2312" w:hAnsi="仿宋_GB2312" w:eastAsia="仿宋_GB2312" w:cs="仿宋_GB2312"/>
          <w:color w:val="000000"/>
          <w:kern w:val="0"/>
          <w:sz w:val="32"/>
          <w:szCs w:val="32"/>
          <w:shd w:val="clear" w:color="auto" w:fill="auto"/>
          <w:lang w:eastAsia="zh-CN"/>
        </w:rPr>
      </w:pPr>
      <w:r>
        <w:rPr>
          <w:rFonts w:hint="eastAsia" w:ascii="仿宋_GB2312" w:hAnsi="仿宋_GB2312" w:eastAsia="仿宋_GB2312" w:cs="仿宋_GB2312"/>
          <w:color w:val="000000"/>
          <w:kern w:val="0"/>
          <w:sz w:val="32"/>
          <w:szCs w:val="32"/>
        </w:rPr>
        <w:t>本人</w:t>
      </w:r>
      <w:r>
        <w:rPr>
          <w:rFonts w:hint="eastAsia" w:ascii="仿宋_GB2312" w:hAnsi="仿宋_GB2312" w:eastAsia="仿宋_GB2312" w:cs="仿宋_GB2312"/>
          <w:color w:val="000000"/>
          <w:kern w:val="0"/>
          <w:sz w:val="32"/>
          <w:szCs w:val="32"/>
          <w:shd w:val="clear" w:color="auto" w:fill="auto"/>
        </w:rPr>
        <w:t>认同</w:t>
      </w:r>
      <w:r>
        <w:rPr>
          <w:rFonts w:hint="eastAsia" w:ascii="仿宋_GB2312" w:hAnsi="仿宋_GB2312" w:eastAsia="仿宋_GB2312" w:cs="仿宋_GB2312"/>
          <w:color w:val="000000"/>
          <w:kern w:val="0"/>
          <w:sz w:val="32"/>
          <w:szCs w:val="32"/>
          <w:shd w:val="clear" w:color="auto" w:fill="auto"/>
          <w:lang w:val="en-US" w:eastAsia="zh-CN"/>
        </w:rPr>
        <w:t>襄阳市</w:t>
      </w:r>
      <w:r>
        <w:rPr>
          <w:rFonts w:hint="eastAsia" w:ascii="仿宋_GB2312" w:hAnsi="仿宋_GB2312" w:eastAsia="仿宋_GB2312" w:cs="仿宋_GB2312"/>
          <w:color w:val="000000"/>
          <w:kern w:val="0"/>
          <w:sz w:val="32"/>
          <w:szCs w:val="32"/>
          <w:shd w:val="clear" w:color="auto" w:fill="auto"/>
          <w:lang w:eastAsia="zh-CN"/>
        </w:rPr>
        <w:t>应急管理</w:t>
      </w:r>
      <w:r>
        <w:rPr>
          <w:rFonts w:hint="eastAsia" w:ascii="仿宋_GB2312" w:hAnsi="仿宋_GB2312" w:eastAsia="仿宋_GB2312" w:cs="仿宋_GB2312"/>
          <w:color w:val="000000"/>
          <w:kern w:val="0"/>
          <w:sz w:val="32"/>
          <w:szCs w:val="32"/>
          <w:shd w:val="clear" w:color="auto" w:fill="auto"/>
          <w:lang w:val="en-US" w:eastAsia="zh-CN"/>
        </w:rPr>
        <w:t>局</w:t>
      </w:r>
      <w:r>
        <w:rPr>
          <w:rFonts w:hint="eastAsia" w:ascii="仿宋_GB2312" w:hAnsi="仿宋_GB2312" w:eastAsia="仿宋_GB2312" w:cs="仿宋_GB2312"/>
          <w:color w:val="000000"/>
          <w:kern w:val="0"/>
          <w:sz w:val="32"/>
          <w:szCs w:val="32"/>
          <w:shd w:val="clear" w:color="auto" w:fill="auto"/>
        </w:rPr>
        <w:t>制定的《</w:t>
      </w:r>
      <w:r>
        <w:rPr>
          <w:rFonts w:hint="eastAsia" w:ascii="仿宋_GB2312" w:hAnsi="仿宋_GB2312" w:eastAsia="仿宋_GB2312" w:cs="仿宋_GB2312"/>
          <w:color w:val="000000"/>
          <w:kern w:val="0"/>
          <w:sz w:val="32"/>
          <w:szCs w:val="32"/>
          <w:shd w:val="clear" w:color="auto" w:fill="auto"/>
          <w:lang w:val="en-US" w:eastAsia="zh-CN"/>
        </w:rPr>
        <w:t>襄阳市</w:t>
      </w:r>
      <w:r>
        <w:rPr>
          <w:rFonts w:hint="eastAsia" w:ascii="仿宋_GB2312" w:hAnsi="仿宋_GB2312" w:eastAsia="仿宋_GB2312" w:cs="仿宋_GB2312"/>
          <w:color w:val="000000"/>
          <w:kern w:val="0"/>
          <w:sz w:val="32"/>
          <w:szCs w:val="32"/>
          <w:shd w:val="clear" w:color="auto" w:fill="auto"/>
          <w:lang w:eastAsia="zh-CN"/>
        </w:rPr>
        <w:t>应急管理</w:t>
      </w:r>
      <w:r>
        <w:rPr>
          <w:rFonts w:hint="eastAsia" w:ascii="仿宋_GB2312" w:hAnsi="仿宋_GB2312" w:eastAsia="仿宋_GB2312" w:cs="仿宋_GB2312"/>
          <w:color w:val="000000"/>
          <w:kern w:val="0"/>
          <w:sz w:val="32"/>
          <w:szCs w:val="32"/>
          <w:shd w:val="clear" w:color="auto" w:fill="auto"/>
        </w:rPr>
        <w:t>专家管理办法》，愿意参聘应急管理专家，并做出以下承诺</w:t>
      </w:r>
      <w:r>
        <w:rPr>
          <w:rFonts w:hint="eastAsia" w:ascii="仿宋_GB2312" w:hAnsi="仿宋_GB2312" w:eastAsia="仿宋_GB2312" w:cs="仿宋_GB2312"/>
          <w:color w:val="000000"/>
          <w:kern w:val="0"/>
          <w:sz w:val="32"/>
          <w:szCs w:val="32"/>
          <w:shd w:val="clear" w:color="auto" w:fill="auto"/>
          <w:lang w:eastAsia="zh-CN"/>
        </w:rPr>
        <w:t>：</w:t>
      </w:r>
    </w:p>
    <w:p w14:paraId="6298493B">
      <w:pPr>
        <w:pStyle w:val="3"/>
        <w:widowControl w:val="0"/>
        <w:numPr>
          <w:ilvl w:val="0"/>
          <w:numId w:val="1"/>
        </w:numPr>
        <w:pBdr>
          <w:top w:val="none" w:color="auto" w:sz="0" w:space="0"/>
          <w:left w:val="none" w:color="auto" w:sz="0" w:space="0"/>
          <w:bottom w:val="none" w:color="auto" w:sz="0" w:space="0"/>
          <w:right w:val="none" w:color="auto" w:sz="0" w:space="0"/>
        </w:pBdr>
        <w:shd w:val="clear"/>
        <w:spacing w:before="0" w:beforeLines="0" w:beforeAutospacing="0" w:after="0" w:afterLines="0" w:afterAutospacing="0" w:line="600" w:lineRule="exact"/>
        <w:ind w:firstLine="640" w:firstLineChars="200"/>
        <w:rPr>
          <w:rFonts w:hint="eastAsia" w:ascii="仿宋_GB2312" w:hAnsi="仿宋_GB2312" w:eastAsia="仿宋_GB2312" w:cs="仿宋_GB2312"/>
          <w:color w:val="000000"/>
          <w:kern w:val="0"/>
          <w:sz w:val="32"/>
          <w:szCs w:val="32"/>
          <w:shd w:val="clear" w:color="auto" w:fill="auto"/>
        </w:rPr>
      </w:pPr>
      <w:r>
        <w:rPr>
          <w:rFonts w:hint="eastAsia" w:ascii="仿宋_GB2312" w:hAnsi="仿宋_GB2312" w:eastAsia="仿宋_GB2312" w:cs="仿宋_GB2312"/>
          <w:color w:val="000000"/>
          <w:kern w:val="0"/>
          <w:sz w:val="32"/>
          <w:szCs w:val="32"/>
          <w:shd w:val="clear" w:color="auto" w:fill="auto"/>
        </w:rPr>
        <w:t>积极参加专家工作，认真完成委托的任务；</w:t>
      </w:r>
    </w:p>
    <w:p w14:paraId="58AB9DB3">
      <w:pPr>
        <w:pStyle w:val="3"/>
        <w:widowControl w:val="0"/>
        <w:numPr>
          <w:ilvl w:val="0"/>
          <w:numId w:val="1"/>
        </w:numPr>
        <w:pBdr>
          <w:top w:val="none" w:color="auto" w:sz="0" w:space="0"/>
          <w:left w:val="none" w:color="auto" w:sz="0" w:space="0"/>
          <w:bottom w:val="none" w:color="auto" w:sz="0" w:space="0"/>
          <w:right w:val="none" w:color="auto" w:sz="0" w:space="0"/>
        </w:pBdr>
        <w:shd w:val="clear"/>
        <w:spacing w:before="0" w:beforeLines="0" w:beforeAutospacing="0" w:after="0" w:afterLines="0" w:afterAutospacing="0" w:line="600" w:lineRule="exact"/>
        <w:ind w:firstLine="640" w:firstLineChars="200"/>
        <w:rPr>
          <w:rFonts w:hint="eastAsia" w:ascii="仿宋_GB2312" w:hAnsi="仿宋_GB2312" w:eastAsia="仿宋_GB2312" w:cs="仿宋_GB2312"/>
          <w:color w:val="000000"/>
          <w:kern w:val="0"/>
          <w:sz w:val="32"/>
          <w:szCs w:val="32"/>
          <w:shd w:val="clear" w:color="auto" w:fill="auto"/>
        </w:rPr>
      </w:pPr>
      <w:r>
        <w:rPr>
          <w:rFonts w:hint="eastAsia" w:ascii="仿宋_GB2312" w:hAnsi="仿宋_GB2312" w:eastAsia="仿宋_GB2312" w:cs="仿宋_GB2312"/>
          <w:color w:val="000000"/>
          <w:kern w:val="0"/>
          <w:sz w:val="32"/>
          <w:szCs w:val="32"/>
          <w:shd w:val="clear" w:color="auto" w:fill="auto"/>
        </w:rPr>
        <w:t>依据法律、法规、标准、规范开展工作，对出具的意见负责；</w:t>
      </w:r>
    </w:p>
    <w:p w14:paraId="2D31C16E">
      <w:pPr>
        <w:pStyle w:val="3"/>
        <w:widowControl w:val="0"/>
        <w:numPr>
          <w:ilvl w:val="0"/>
          <w:numId w:val="1"/>
        </w:numPr>
        <w:pBdr>
          <w:top w:val="none" w:color="auto" w:sz="0" w:space="0"/>
          <w:left w:val="none" w:color="auto" w:sz="0" w:space="0"/>
          <w:bottom w:val="none" w:color="auto" w:sz="0" w:space="0"/>
          <w:right w:val="none" w:color="auto" w:sz="0" w:space="0"/>
        </w:pBdr>
        <w:shd w:val="clear"/>
        <w:spacing w:before="0" w:beforeLines="0" w:beforeAutospacing="0" w:after="0" w:afterLines="0" w:afterAutospacing="0" w:line="600" w:lineRule="exact"/>
        <w:ind w:firstLine="640" w:firstLineChars="200"/>
        <w:rPr>
          <w:rFonts w:hint="eastAsia" w:ascii="仿宋_GB2312" w:hAnsi="仿宋_GB2312" w:eastAsia="仿宋_GB2312" w:cs="仿宋_GB2312"/>
          <w:color w:val="000000"/>
          <w:kern w:val="0"/>
          <w:sz w:val="32"/>
          <w:szCs w:val="32"/>
          <w:shd w:val="clear" w:color="auto" w:fill="auto"/>
        </w:rPr>
      </w:pPr>
      <w:r>
        <w:rPr>
          <w:rFonts w:hint="eastAsia" w:ascii="仿宋_GB2312" w:hAnsi="仿宋_GB2312" w:eastAsia="仿宋_GB2312" w:cs="仿宋_GB2312"/>
          <w:color w:val="000000"/>
          <w:kern w:val="0"/>
          <w:sz w:val="32"/>
          <w:szCs w:val="32"/>
          <w:shd w:val="clear" w:color="auto" w:fill="auto"/>
        </w:rPr>
        <w:t>遵守保密要求，不透漏相关工作、商业和技术秘密；</w:t>
      </w:r>
    </w:p>
    <w:p w14:paraId="6B67C95F">
      <w:pPr>
        <w:pStyle w:val="3"/>
        <w:widowControl w:val="0"/>
        <w:numPr>
          <w:ilvl w:val="0"/>
          <w:numId w:val="1"/>
        </w:numPr>
        <w:pBdr>
          <w:top w:val="none" w:color="auto" w:sz="0" w:space="0"/>
          <w:left w:val="none" w:color="auto" w:sz="0" w:space="0"/>
          <w:bottom w:val="none" w:color="auto" w:sz="0" w:space="0"/>
          <w:right w:val="none" w:color="auto" w:sz="0" w:space="0"/>
        </w:pBdr>
        <w:shd w:val="clear"/>
        <w:spacing w:before="0" w:beforeLines="0" w:beforeAutospacing="0" w:after="0" w:afterLines="0" w:afterAutospacing="0" w:line="600" w:lineRule="exact"/>
        <w:ind w:firstLine="640" w:firstLineChars="200"/>
        <w:rPr>
          <w:rFonts w:hint="eastAsia" w:ascii="仿宋_GB2312" w:hAnsi="仿宋_GB2312" w:eastAsia="仿宋_GB2312" w:cs="仿宋_GB2312"/>
          <w:color w:val="000000"/>
          <w:kern w:val="0"/>
          <w:sz w:val="32"/>
          <w:szCs w:val="32"/>
          <w:shd w:val="clear" w:color="auto" w:fill="auto"/>
        </w:rPr>
      </w:pPr>
      <w:r>
        <w:rPr>
          <w:rFonts w:hint="eastAsia" w:ascii="仿宋_GB2312" w:hAnsi="仿宋_GB2312" w:eastAsia="仿宋_GB2312" w:cs="仿宋_GB2312"/>
          <w:color w:val="000000"/>
          <w:kern w:val="0"/>
          <w:sz w:val="32"/>
          <w:szCs w:val="32"/>
          <w:shd w:val="clear" w:color="auto" w:fill="auto"/>
        </w:rPr>
        <w:t>执行专家回避制度、专家工作规则和廉洁要求；</w:t>
      </w:r>
    </w:p>
    <w:p w14:paraId="45F8D6FE">
      <w:pPr>
        <w:pStyle w:val="3"/>
        <w:widowControl w:val="0"/>
        <w:numPr>
          <w:ilvl w:val="0"/>
          <w:numId w:val="1"/>
        </w:numPr>
        <w:pBdr>
          <w:top w:val="none" w:color="auto" w:sz="0" w:space="0"/>
          <w:left w:val="none" w:color="auto" w:sz="0" w:space="0"/>
          <w:bottom w:val="none" w:color="auto" w:sz="0" w:space="0"/>
          <w:right w:val="none" w:color="auto" w:sz="0" w:space="0"/>
        </w:pBdr>
        <w:shd w:val="clear"/>
        <w:spacing w:before="0" w:beforeLines="0" w:beforeAutospacing="0" w:after="0" w:afterLines="0" w:afterAutospacing="0" w:line="600" w:lineRule="exact"/>
        <w:ind w:firstLine="640" w:firstLineChars="200"/>
        <w:rPr>
          <w:rFonts w:hint="eastAsia" w:ascii="仿宋_GB2312" w:hAnsi="仿宋_GB2312" w:eastAsia="仿宋_GB2312" w:cs="仿宋_GB2312"/>
          <w:color w:val="000000"/>
          <w:kern w:val="0"/>
          <w:sz w:val="32"/>
          <w:szCs w:val="32"/>
          <w:shd w:val="clear" w:color="auto" w:fill="auto"/>
        </w:rPr>
      </w:pPr>
      <w:r>
        <w:rPr>
          <w:rFonts w:hint="eastAsia" w:ascii="仿宋_GB2312" w:hAnsi="仿宋_GB2312" w:eastAsia="仿宋_GB2312" w:cs="仿宋_GB2312"/>
          <w:color w:val="000000"/>
          <w:kern w:val="0"/>
          <w:sz w:val="32"/>
          <w:szCs w:val="32"/>
          <w:shd w:val="clear" w:color="auto" w:fill="auto"/>
        </w:rPr>
        <w:t>及时填报、更新个人信息，记录和反馈工作情况；</w:t>
      </w:r>
    </w:p>
    <w:p w14:paraId="10864E85">
      <w:pPr>
        <w:pStyle w:val="3"/>
        <w:widowControl w:val="0"/>
        <w:numPr>
          <w:ilvl w:val="0"/>
          <w:numId w:val="1"/>
        </w:numPr>
        <w:pBdr>
          <w:top w:val="none" w:color="auto" w:sz="0" w:space="0"/>
          <w:left w:val="none" w:color="auto" w:sz="0" w:space="0"/>
          <w:bottom w:val="none" w:color="auto" w:sz="0" w:space="0"/>
          <w:right w:val="none" w:color="auto" w:sz="0" w:space="0"/>
        </w:pBdr>
        <w:shd w:val="clear"/>
        <w:spacing w:before="0" w:beforeLines="0" w:beforeAutospacing="0" w:after="0" w:afterLines="0" w:afterAutospacing="0" w:line="600" w:lineRule="exact"/>
        <w:ind w:firstLine="640" w:firstLineChars="200"/>
        <w:rPr>
          <w:rFonts w:hint="eastAsia" w:ascii="仿宋_GB2312" w:hAnsi="仿宋_GB2312" w:eastAsia="仿宋_GB2312" w:cs="仿宋_GB2312"/>
          <w:color w:val="000000"/>
          <w:kern w:val="0"/>
          <w:sz w:val="32"/>
          <w:szCs w:val="32"/>
          <w:shd w:val="clear" w:color="auto" w:fill="auto"/>
        </w:rPr>
      </w:pPr>
      <w:r>
        <w:rPr>
          <w:rFonts w:hint="eastAsia" w:ascii="仿宋_GB2312" w:hAnsi="仿宋_GB2312" w:eastAsia="仿宋_GB2312" w:cs="仿宋_GB2312"/>
          <w:color w:val="000000"/>
          <w:kern w:val="0"/>
          <w:sz w:val="32"/>
          <w:szCs w:val="32"/>
          <w:shd w:val="clear" w:color="auto" w:fill="auto"/>
          <w:lang w:val="en-US" w:eastAsia="zh-CN"/>
        </w:rPr>
        <w:t>遵守法律法规，恪守职业道德，自觉维护专家形象；</w:t>
      </w:r>
    </w:p>
    <w:p w14:paraId="20B54139">
      <w:pPr>
        <w:pStyle w:val="3"/>
        <w:widowControl w:val="0"/>
        <w:numPr>
          <w:ilvl w:val="0"/>
          <w:numId w:val="1"/>
        </w:numPr>
        <w:pBdr>
          <w:top w:val="none" w:color="auto" w:sz="0" w:space="0"/>
          <w:left w:val="none" w:color="auto" w:sz="0" w:space="0"/>
          <w:bottom w:val="none" w:color="auto" w:sz="0" w:space="0"/>
          <w:right w:val="none" w:color="auto" w:sz="0" w:space="0"/>
        </w:pBdr>
        <w:shd w:val="clear"/>
        <w:spacing w:before="0" w:beforeLines="0" w:beforeAutospacing="0" w:after="0" w:afterLines="0" w:afterAutospacing="0" w:line="600" w:lineRule="exact"/>
        <w:ind w:firstLine="640" w:firstLineChars="200"/>
        <w:rPr>
          <w:rFonts w:hint="eastAsia" w:ascii="仿宋_GB2312" w:hAnsi="仿宋_GB2312" w:eastAsia="仿宋_GB2312" w:cs="仿宋_GB2312"/>
          <w:color w:val="000000"/>
          <w:kern w:val="0"/>
          <w:sz w:val="32"/>
          <w:szCs w:val="32"/>
          <w:shd w:val="clear" w:color="auto" w:fill="auto"/>
        </w:rPr>
      </w:pPr>
      <w:r>
        <w:rPr>
          <w:rFonts w:hint="eastAsia" w:ascii="仿宋_GB2312" w:hAnsi="仿宋_GB2312" w:eastAsia="仿宋_GB2312" w:cs="仿宋_GB2312"/>
          <w:color w:val="000000"/>
          <w:sz w:val="32"/>
          <w:szCs w:val="32"/>
          <w:shd w:val="clear" w:color="auto" w:fill="auto"/>
        </w:rPr>
        <w:t>自觉为应急管理工作</w:t>
      </w:r>
      <w:r>
        <w:rPr>
          <w:rFonts w:hint="eastAsia" w:ascii="仿宋_GB2312" w:hAnsi="仿宋_GB2312" w:eastAsia="仿宋_GB2312" w:cs="仿宋_GB2312"/>
          <w:color w:val="000000"/>
          <w:sz w:val="32"/>
          <w:szCs w:val="32"/>
          <w:shd w:val="clear" w:color="auto" w:fill="auto"/>
          <w:lang w:eastAsia="zh-CN"/>
        </w:rPr>
        <w:t>建言献策</w:t>
      </w:r>
      <w:r>
        <w:rPr>
          <w:rFonts w:hint="eastAsia" w:ascii="仿宋_GB2312" w:hAnsi="仿宋_GB2312" w:eastAsia="仿宋_GB2312" w:cs="仿宋_GB2312"/>
          <w:color w:val="000000"/>
          <w:sz w:val="32"/>
          <w:szCs w:val="32"/>
          <w:shd w:val="clear" w:color="auto" w:fill="auto"/>
        </w:rPr>
        <w:t>，撰写有关应急管理方面的论文，提出工作意见或建议</w:t>
      </w:r>
      <w:r>
        <w:rPr>
          <w:rFonts w:hint="eastAsia" w:ascii="仿宋_GB2312" w:hAnsi="仿宋_GB2312" w:eastAsia="仿宋_GB2312" w:cs="仿宋_GB2312"/>
          <w:color w:val="000000"/>
          <w:sz w:val="32"/>
          <w:szCs w:val="32"/>
          <w:shd w:val="clear" w:color="auto" w:fill="auto"/>
          <w:lang w:eastAsia="zh-CN"/>
        </w:rPr>
        <w:t>；</w:t>
      </w:r>
      <w:r>
        <w:rPr>
          <w:rFonts w:hint="eastAsia" w:ascii="仿宋_GB2312" w:hAnsi="仿宋_GB2312" w:eastAsia="仿宋_GB2312" w:cs="仿宋_GB2312"/>
          <w:color w:val="000000"/>
          <w:sz w:val="32"/>
          <w:szCs w:val="32"/>
          <w:shd w:val="clear" w:color="auto" w:fill="auto"/>
          <w:lang w:val="en-US" w:eastAsia="zh-CN"/>
        </w:rPr>
        <w:t xml:space="preserve"> </w:t>
      </w:r>
    </w:p>
    <w:p w14:paraId="2EE4CCA1">
      <w:pPr>
        <w:pStyle w:val="3"/>
        <w:widowControl w:val="0"/>
        <w:numPr>
          <w:ilvl w:val="0"/>
          <w:numId w:val="1"/>
        </w:numPr>
        <w:pBdr>
          <w:top w:val="none" w:color="auto" w:sz="0" w:space="0"/>
          <w:left w:val="none" w:color="auto" w:sz="0" w:space="0"/>
          <w:bottom w:val="none" w:color="auto" w:sz="0" w:space="0"/>
          <w:right w:val="none" w:color="auto" w:sz="0" w:space="0"/>
        </w:pBdr>
        <w:shd w:val="clear"/>
        <w:spacing w:before="0" w:beforeLines="0" w:beforeAutospacing="0" w:after="0" w:afterLines="0" w:afterAutospacing="0" w:line="600" w:lineRule="exact"/>
        <w:ind w:firstLine="640" w:firstLineChars="200"/>
        <w:rPr>
          <w:rFonts w:hint="eastAsia" w:ascii="仿宋_GB2312" w:hAnsi="仿宋_GB2312" w:eastAsia="仿宋_GB2312" w:cs="仿宋_GB2312"/>
          <w:color w:val="000000"/>
          <w:kern w:val="0"/>
          <w:sz w:val="32"/>
          <w:szCs w:val="32"/>
          <w:shd w:val="clear" w:color="auto" w:fill="auto"/>
        </w:rPr>
      </w:pPr>
      <w:r>
        <w:rPr>
          <w:rFonts w:hint="eastAsia" w:ascii="仿宋_GB2312" w:hAnsi="仿宋_GB2312" w:eastAsia="仿宋_GB2312" w:cs="仿宋_GB2312"/>
          <w:color w:val="000000"/>
          <w:kern w:val="0"/>
          <w:sz w:val="32"/>
          <w:szCs w:val="32"/>
          <w:shd w:val="clear" w:color="auto" w:fill="auto"/>
        </w:rPr>
        <w:t>履行法律法规规定的其他义务</w:t>
      </w:r>
      <w:r>
        <w:rPr>
          <w:rFonts w:hint="eastAsia" w:ascii="仿宋_GB2312" w:hAnsi="仿宋_GB2312" w:eastAsia="仿宋_GB2312" w:cs="仿宋_GB2312"/>
          <w:color w:val="000000"/>
          <w:kern w:val="0"/>
          <w:sz w:val="32"/>
          <w:szCs w:val="32"/>
          <w:shd w:val="clear" w:color="auto" w:fill="auto"/>
          <w:lang w:eastAsia="zh-CN"/>
        </w:rPr>
        <w:t>。</w:t>
      </w:r>
      <w:r>
        <w:rPr>
          <w:rFonts w:hint="eastAsia" w:ascii="仿宋_GB2312" w:hAnsi="仿宋_GB2312" w:eastAsia="仿宋_GB2312" w:cs="仿宋_GB2312"/>
          <w:color w:val="000000"/>
          <w:kern w:val="0"/>
          <w:sz w:val="32"/>
          <w:szCs w:val="32"/>
          <w:shd w:val="clear" w:color="auto" w:fill="auto"/>
        </w:rPr>
        <w:t xml:space="preserve">  </w:t>
      </w:r>
    </w:p>
    <w:p w14:paraId="5761E763">
      <w:pPr>
        <w:pStyle w:val="3"/>
        <w:widowControl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p>
    <w:p w14:paraId="0FB56FC5">
      <w:pPr>
        <w:pStyle w:val="3"/>
        <w:widowControl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firstLine="3212" w:firstLineChars="1004"/>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承诺人签</w:t>
      </w:r>
      <w:r>
        <w:rPr>
          <w:rFonts w:hint="eastAsia" w:ascii="仿宋_GB2312" w:hAnsi="仿宋_GB2312" w:eastAsia="仿宋_GB2312" w:cs="仿宋_GB2312"/>
          <w:color w:val="000000"/>
          <w:kern w:val="0"/>
          <w:sz w:val="32"/>
          <w:szCs w:val="32"/>
          <w:lang w:eastAsia="zh-CN"/>
        </w:rPr>
        <w:t>名</w:t>
      </w:r>
      <w:r>
        <w:rPr>
          <w:rFonts w:hint="eastAsia" w:ascii="仿宋_GB2312" w:hAnsi="仿宋_GB2312" w:eastAsia="仿宋_GB2312" w:cs="仿宋_GB2312"/>
          <w:color w:val="000000"/>
          <w:kern w:val="0"/>
          <w:sz w:val="32"/>
          <w:szCs w:val="32"/>
        </w:rPr>
        <w:t>：</w:t>
      </w:r>
    </w:p>
    <w:p w14:paraId="65B704FB">
      <w:pPr>
        <w:pStyle w:val="3"/>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jc w:val="both"/>
        <w:textAlignment w:val="auto"/>
        <w:rPr>
          <w:rFonts w:hint="eastAsia" w:ascii="仿宋_GB2312" w:hAnsi="仿宋_GB2312" w:eastAsia="仿宋_GB2312" w:cs="仿宋_GB2312"/>
          <w:color w:val="000000"/>
          <w:kern w:val="0"/>
          <w:sz w:val="32"/>
          <w:szCs w:val="32"/>
          <w:shd w:val="clear" w:color="auto" w:fill="auto"/>
        </w:rPr>
      </w:pPr>
      <w:r>
        <w:rPr>
          <w:rFonts w:hint="eastAsia" w:ascii="仿宋_GB2312" w:hAnsi="仿宋_GB2312" w:eastAsia="仿宋_GB2312" w:cs="仿宋_GB2312"/>
          <w:color w:val="000000"/>
          <w:kern w:val="0"/>
          <w:sz w:val="32"/>
          <w:szCs w:val="32"/>
        </w:rPr>
        <w:t xml:space="preserve">                     </w:t>
      </w:r>
    </w:p>
    <w:p w14:paraId="0276511D">
      <w:pPr>
        <w:pStyle w:val="3"/>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leftChars="0" w:firstLine="5440" w:firstLineChars="17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xml:space="preserve">年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日</w:t>
      </w:r>
    </w:p>
    <w:p w14:paraId="1B8351CF">
      <w:pPr>
        <w:rPr>
          <w:rFonts w:hint="eastAsia" w:ascii="黑体" w:hAnsi="黑体" w:eastAsia="黑体" w:cs="黑体"/>
          <w:b w:val="0"/>
          <w:bCs w:val="0"/>
          <w:sz w:val="32"/>
          <w:szCs w:val="32"/>
          <w:lang w:eastAsia="zh-CN"/>
        </w:rPr>
      </w:pPr>
    </w:p>
    <w:p w14:paraId="6A2BCDD6">
      <w:pPr>
        <w:pStyle w:val="6"/>
        <w:rPr>
          <w:rFonts w:hint="eastAsia"/>
          <w:lang w:eastAsia="zh-CN"/>
        </w:rPr>
      </w:pPr>
    </w:p>
    <w:p w14:paraId="2A80111E">
      <w:pPr>
        <w:rPr>
          <w:rFonts w:hint="eastAsia" w:ascii="黑体" w:hAnsi="黑体" w:eastAsia="黑体" w:cs="黑体"/>
          <w:b w:val="0"/>
          <w:bCs w:val="0"/>
          <w:sz w:val="32"/>
          <w:szCs w:val="32"/>
          <w:lang w:eastAsia="zh-CN"/>
        </w:rPr>
      </w:pPr>
    </w:p>
    <w:p w14:paraId="77FF3585">
      <w:pPr>
        <w:rPr>
          <w:rFonts w:hint="default" w:asciiTheme="majorEastAsia" w:hAnsiTheme="majorEastAsia" w:eastAsiaTheme="majorEastAsia" w:cstheme="majorEastAsia"/>
          <w:b/>
          <w:bCs/>
          <w:sz w:val="44"/>
          <w:szCs w:val="44"/>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14:paraId="2C64D3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lang w:eastAsia="zh-CN"/>
        </w:rPr>
      </w:pPr>
    </w:p>
    <w:p w14:paraId="0058FF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eastAsia="zh-CN"/>
        </w:rPr>
        <w:t>襄阳</w:t>
      </w:r>
      <w:r>
        <w:rPr>
          <w:rFonts w:hint="eastAsia" w:asciiTheme="majorEastAsia" w:hAnsiTheme="majorEastAsia" w:eastAsiaTheme="majorEastAsia" w:cstheme="majorEastAsia"/>
          <w:b/>
          <w:bCs/>
          <w:sz w:val="44"/>
          <w:szCs w:val="44"/>
        </w:rPr>
        <w:t>市应急管理专家管理办法</w:t>
      </w:r>
    </w:p>
    <w:p w14:paraId="26AE38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2"/>
          <w:szCs w:val="32"/>
        </w:rPr>
      </w:pPr>
    </w:p>
    <w:p w14:paraId="0C3FD0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 则</w:t>
      </w:r>
    </w:p>
    <w:p w14:paraId="51B60C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sz w:val="32"/>
          <w:szCs w:val="32"/>
        </w:rPr>
        <w:t>　</w:t>
      </w: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第一条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为</w:t>
      </w:r>
      <w:r>
        <w:rPr>
          <w:rFonts w:hint="eastAsia" w:ascii="仿宋" w:hAnsi="仿宋" w:eastAsia="仿宋" w:cs="仿宋"/>
          <w:b w:val="0"/>
          <w:bCs w:val="0"/>
          <w:color w:val="000000" w:themeColor="text1"/>
          <w:sz w:val="32"/>
          <w:szCs w:val="32"/>
          <w:lang w:eastAsia="zh-CN"/>
          <w14:textFill>
            <w14:solidFill>
              <w14:schemeClr w14:val="tx1"/>
            </w14:solidFill>
          </w14:textFill>
        </w:rPr>
        <w:t>统筹协调应急管理资源和力量，</w:t>
      </w:r>
      <w:r>
        <w:rPr>
          <w:rFonts w:hint="eastAsia" w:ascii="仿宋" w:hAnsi="仿宋" w:eastAsia="仿宋" w:cs="仿宋"/>
          <w:b w:val="0"/>
          <w:bCs w:val="0"/>
          <w:color w:val="000000" w:themeColor="text1"/>
          <w:sz w:val="32"/>
          <w:szCs w:val="32"/>
          <w14:textFill>
            <w14:solidFill>
              <w14:schemeClr w14:val="tx1"/>
            </w14:solidFill>
          </w14:textFill>
        </w:rPr>
        <w:t>加强和规范应急管理专家（以下简称专家）工作，发挥好专家技术专长的支持作用，根据</w:t>
      </w:r>
      <w:r>
        <w:rPr>
          <w:rFonts w:hint="eastAsia" w:ascii="仿宋" w:hAnsi="仿宋" w:eastAsia="仿宋" w:cs="仿宋"/>
          <w:color w:val="000000"/>
          <w:spacing w:val="-4"/>
          <w:sz w:val="32"/>
          <w:szCs w:val="32"/>
          <w:lang w:val="en-US" w:eastAsia="en-US" w:bidi="ar-SA"/>
        </w:rPr>
        <w:t>《中华人民共和国突发事件应对法》</w:t>
      </w:r>
      <w:r>
        <w:rPr>
          <w:rFonts w:hint="eastAsia" w:ascii="仿宋" w:hAnsi="仿宋" w:eastAsia="仿宋" w:cs="仿宋"/>
          <w:color w:val="000000"/>
          <w:spacing w:val="-4"/>
          <w:sz w:val="32"/>
          <w:szCs w:val="32"/>
          <w:lang w:val="en-US" w:eastAsia="zh-CN" w:bidi="ar-SA"/>
        </w:rPr>
        <w:t>、</w:t>
      </w:r>
      <w:r>
        <w:rPr>
          <w:rFonts w:hint="eastAsia" w:ascii="仿宋" w:hAnsi="仿宋" w:eastAsia="仿宋" w:cs="仿宋"/>
          <w:color w:val="000000"/>
          <w:spacing w:val="-4"/>
          <w:sz w:val="32"/>
          <w:szCs w:val="32"/>
          <w:lang w:val="en-US" w:eastAsia="en-US" w:bidi="ar-SA"/>
        </w:rPr>
        <w:t>《中华人民共和国安全生产法》</w:t>
      </w:r>
      <w:r>
        <w:rPr>
          <w:rFonts w:hint="eastAsia" w:ascii="仿宋" w:hAnsi="仿宋" w:eastAsia="仿宋" w:cs="仿宋"/>
          <w:color w:val="000000"/>
          <w:spacing w:val="-4"/>
          <w:sz w:val="32"/>
          <w:szCs w:val="32"/>
          <w:lang w:val="en-US" w:eastAsia="zh-CN" w:bidi="ar-SA"/>
        </w:rPr>
        <w:t>、</w:t>
      </w:r>
      <w:r>
        <w:rPr>
          <w:rFonts w:hint="eastAsia" w:ascii="仿宋" w:hAnsi="仿宋" w:eastAsia="仿宋" w:cs="仿宋"/>
          <w:color w:val="000000"/>
          <w:spacing w:val="-4"/>
          <w:sz w:val="32"/>
          <w:szCs w:val="32"/>
          <w:lang w:val="en-US" w:eastAsia="en-US" w:bidi="ar-SA"/>
        </w:rPr>
        <w:t>《国务院办公厅关于加强专家参与公共决策</w:t>
      </w:r>
      <w:r>
        <w:rPr>
          <w:rFonts w:hint="eastAsia" w:ascii="仿宋" w:hAnsi="仿宋" w:eastAsia="仿宋" w:cs="仿宋"/>
          <w:color w:val="000000"/>
          <w:spacing w:val="-3"/>
          <w:sz w:val="32"/>
          <w:szCs w:val="32"/>
          <w:lang w:val="en-US" w:eastAsia="en-US" w:bidi="ar-SA"/>
        </w:rPr>
        <w:t>行为监督管理的指导意见》（国办发〔2024〕2</w:t>
      </w:r>
      <w:r>
        <w:rPr>
          <w:rFonts w:hint="eastAsia" w:ascii="仿宋" w:hAnsi="仿宋" w:eastAsia="仿宋" w:cs="仿宋"/>
          <w:color w:val="000000"/>
          <w:spacing w:val="8"/>
          <w:sz w:val="32"/>
          <w:szCs w:val="32"/>
          <w:lang w:val="en-US" w:eastAsia="en-US" w:bidi="ar-SA"/>
        </w:rPr>
        <w:t xml:space="preserve"> </w:t>
      </w:r>
      <w:r>
        <w:rPr>
          <w:rFonts w:hint="eastAsia" w:ascii="仿宋" w:hAnsi="仿宋" w:eastAsia="仿宋" w:cs="仿宋"/>
          <w:color w:val="000000"/>
          <w:spacing w:val="5"/>
          <w:sz w:val="32"/>
          <w:szCs w:val="32"/>
          <w:lang w:val="en-US" w:eastAsia="en-US" w:bidi="ar-SA"/>
        </w:rPr>
        <w:t>号）《湖北省</w:t>
      </w:r>
      <w:r>
        <w:rPr>
          <w:rFonts w:hint="eastAsia" w:ascii="仿宋" w:hAnsi="仿宋" w:eastAsia="仿宋" w:cs="仿宋"/>
          <w:color w:val="000000"/>
          <w:sz w:val="32"/>
          <w:szCs w:val="32"/>
          <w:lang w:val="en-US" w:eastAsia="en-US" w:bidi="ar-SA"/>
        </w:rPr>
        <w:t>安全生产条例》</w:t>
      </w:r>
      <w:r>
        <w:rPr>
          <w:rFonts w:hint="eastAsia" w:ascii="仿宋" w:hAnsi="仿宋" w:eastAsia="仿宋" w:cs="仿宋"/>
          <w:color w:val="000000"/>
          <w:sz w:val="32"/>
          <w:szCs w:val="32"/>
          <w:lang w:val="en-US" w:eastAsia="zh-CN" w:bidi="ar-SA"/>
        </w:rPr>
        <w:t>和</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color w:val="000000"/>
          <w:sz w:val="32"/>
          <w:szCs w:val="32"/>
          <w:lang w:val="en-US" w:eastAsia="en-US" w:bidi="ar-SA"/>
        </w:rPr>
        <w:t>湖北省应急管理专家管理办法（试行）</w:t>
      </w:r>
      <w:r>
        <w:rPr>
          <w:rFonts w:hint="eastAsia" w:ascii="仿宋" w:hAnsi="仿宋" w:eastAsia="仿宋" w:cs="仿宋"/>
          <w:b w:val="0"/>
          <w:bCs w:val="0"/>
          <w:color w:val="000000" w:themeColor="text1"/>
          <w:sz w:val="32"/>
          <w:szCs w:val="32"/>
          <w14:textFill>
            <w14:solidFill>
              <w14:schemeClr w14:val="tx1"/>
            </w14:solidFill>
          </w14:textFill>
        </w:rPr>
        <w:t>》等</w:t>
      </w:r>
      <w:r>
        <w:rPr>
          <w:rFonts w:hint="eastAsia" w:ascii="仿宋" w:hAnsi="仿宋" w:eastAsia="仿宋" w:cs="仿宋"/>
          <w:b w:val="0"/>
          <w:bCs w:val="0"/>
          <w:color w:val="000000" w:themeColor="text1"/>
          <w:sz w:val="32"/>
          <w:szCs w:val="32"/>
          <w:lang w:val="en-US" w:eastAsia="zh-CN"/>
          <w14:textFill>
            <w14:solidFill>
              <w14:schemeClr w14:val="tx1"/>
            </w14:solidFill>
          </w14:textFill>
        </w:rPr>
        <w:t>有关规定</w:t>
      </w:r>
      <w:r>
        <w:rPr>
          <w:rFonts w:hint="eastAsia" w:ascii="仿宋" w:hAnsi="仿宋" w:eastAsia="仿宋" w:cs="仿宋"/>
          <w:b w:val="0"/>
          <w:bCs w:val="0"/>
          <w:color w:val="000000" w:themeColor="text1"/>
          <w:sz w:val="32"/>
          <w:szCs w:val="32"/>
          <w14:textFill>
            <w14:solidFill>
              <w14:schemeClr w14:val="tx1"/>
            </w14:solidFill>
          </w14:textFill>
        </w:rPr>
        <w:t>，结合我市实际，制定本办法。</w:t>
      </w:r>
    </w:p>
    <w:p w14:paraId="499A1A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第二条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本办法适用于</w:t>
      </w:r>
      <w:r>
        <w:rPr>
          <w:rFonts w:hint="eastAsia" w:ascii="仿宋" w:hAnsi="仿宋" w:eastAsia="仿宋" w:cs="仿宋"/>
          <w:b w:val="0"/>
          <w:bCs w:val="0"/>
          <w:color w:val="000000" w:themeColor="text1"/>
          <w:sz w:val="32"/>
          <w:szCs w:val="32"/>
          <w:lang w:eastAsia="zh-CN"/>
          <w14:textFill>
            <w14:solidFill>
              <w14:schemeClr w14:val="tx1"/>
            </w14:solidFill>
          </w14:textFill>
        </w:rPr>
        <w:t>襄阳市应急管理专家库</w:t>
      </w:r>
      <w:r>
        <w:rPr>
          <w:rFonts w:hint="eastAsia" w:ascii="仿宋" w:hAnsi="仿宋" w:eastAsia="仿宋" w:cs="仿宋"/>
          <w:b w:val="0"/>
          <w:bCs w:val="0"/>
          <w:color w:val="000000" w:themeColor="text1"/>
          <w:sz w:val="32"/>
          <w:szCs w:val="32"/>
          <w14:textFill>
            <w14:solidFill>
              <w14:schemeClr w14:val="tx1"/>
            </w14:solidFill>
          </w14:textFill>
        </w:rPr>
        <w:t>专家的申请、推荐、资格认定、选聘、管理使用等。</w:t>
      </w:r>
    </w:p>
    <w:p w14:paraId="4D1E5361">
      <w:pPr>
        <w:keepNext w:val="0"/>
        <w:keepLines w:val="0"/>
        <w:pageBreakBefore w:val="0"/>
        <w:widowControl w:val="0"/>
        <w:kinsoku/>
        <w:wordWrap/>
        <w:overflowPunct/>
        <w:topLinePunct w:val="0"/>
        <w:autoSpaceDE/>
        <w:autoSpaceDN/>
        <w:bidi w:val="0"/>
        <w:adjustRightInd/>
        <w:snapToGrid/>
        <w:spacing w:line="560" w:lineRule="exact"/>
        <w:ind w:firstLine="665"/>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第三条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lang w:eastAsia="zh-CN"/>
          <w14:textFill>
            <w14:solidFill>
              <w14:schemeClr w14:val="tx1"/>
            </w14:solidFill>
          </w14:textFill>
        </w:rPr>
        <w:t>本办法所称专家库</w:t>
      </w:r>
      <w:r>
        <w:rPr>
          <w:rFonts w:hint="eastAsia" w:ascii="仿宋" w:hAnsi="仿宋" w:eastAsia="仿宋" w:cs="仿宋"/>
          <w:b w:val="0"/>
          <w:bCs w:val="0"/>
          <w:color w:val="000000" w:themeColor="text1"/>
          <w:sz w:val="32"/>
          <w:szCs w:val="32"/>
          <w14:textFill>
            <w14:solidFill>
              <w14:schemeClr w14:val="tx1"/>
            </w14:solidFill>
          </w14:textFill>
        </w:rPr>
        <w:t>专家是指符合本办法规定的条件和要求，</w:t>
      </w:r>
      <w:r>
        <w:rPr>
          <w:rFonts w:hint="eastAsia" w:ascii="仿宋" w:hAnsi="仿宋" w:eastAsia="仿宋" w:cs="仿宋"/>
          <w:b w:val="0"/>
          <w:bCs w:val="0"/>
          <w:color w:val="000000" w:themeColor="text1"/>
          <w:sz w:val="32"/>
          <w:szCs w:val="32"/>
          <w:lang w:eastAsia="zh-CN"/>
          <w14:textFill>
            <w14:solidFill>
              <w14:schemeClr w14:val="tx1"/>
            </w14:solidFill>
          </w14:textFill>
        </w:rPr>
        <w:t>具有较高防范和处置自然灾害、事故灾难专业技能和学术水平，能够在突发事件处置和应急管理工作中提供决策咨询和技术支撑作用的专业人员。</w:t>
      </w:r>
    </w:p>
    <w:p w14:paraId="7B72119C">
      <w:pPr>
        <w:keepNext w:val="0"/>
        <w:keepLines w:val="0"/>
        <w:pageBreakBefore w:val="0"/>
        <w:widowControl w:val="0"/>
        <w:kinsoku/>
        <w:wordWrap/>
        <w:overflowPunct/>
        <w:topLinePunct w:val="0"/>
        <w:autoSpaceDE/>
        <w:autoSpaceDN/>
        <w:bidi w:val="0"/>
        <w:adjustRightInd/>
        <w:snapToGrid/>
        <w:spacing w:line="560" w:lineRule="exact"/>
        <w:ind w:firstLine="665"/>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第四条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市应急管理局建立市级应急管理专家库（以下简称专家库），</w:t>
      </w:r>
      <w:r>
        <w:rPr>
          <w:rFonts w:hint="eastAsia" w:ascii="仿宋" w:hAnsi="仿宋" w:eastAsia="仿宋" w:cs="仿宋"/>
          <w:b w:val="0"/>
          <w:bCs w:val="0"/>
          <w:color w:val="000000" w:themeColor="text1"/>
          <w:sz w:val="32"/>
          <w:szCs w:val="32"/>
          <w:lang w:val="en-US" w:eastAsia="zh-CN"/>
          <w14:textFill>
            <w14:solidFill>
              <w14:schemeClr w14:val="tx1"/>
            </w14:solidFill>
          </w14:textFill>
        </w:rPr>
        <w:t>按照</w:t>
      </w:r>
      <w:r>
        <w:rPr>
          <w:rFonts w:hint="eastAsia" w:ascii="仿宋" w:hAnsi="仿宋" w:eastAsia="仿宋" w:cs="仿宋"/>
          <w:color w:val="000000"/>
          <w:sz w:val="32"/>
          <w:szCs w:val="22"/>
          <w:lang w:val="en-US" w:eastAsia="en-US" w:bidi="ar-SA"/>
        </w:rPr>
        <w:t>“按</w:t>
      </w:r>
      <w:r>
        <w:rPr>
          <w:rFonts w:hint="eastAsia" w:ascii="仿宋" w:hAnsi="仿宋" w:eastAsia="仿宋" w:cs="仿宋"/>
          <w:color w:val="2B2B2B"/>
          <w:sz w:val="32"/>
          <w:szCs w:val="22"/>
          <w:lang w:val="en-US" w:eastAsia="en-US" w:bidi="ar-SA"/>
        </w:rPr>
        <w:t>需设组、规模适度</w:t>
      </w:r>
      <w:r>
        <w:rPr>
          <w:rFonts w:hint="eastAsia" w:ascii="仿宋" w:hAnsi="仿宋" w:eastAsia="仿宋" w:cs="仿宋"/>
          <w:color w:val="000000"/>
          <w:sz w:val="32"/>
          <w:szCs w:val="22"/>
          <w:lang w:val="en-US" w:eastAsia="en-US" w:bidi="ar-SA"/>
        </w:rPr>
        <w:t>”</w:t>
      </w:r>
      <w:r>
        <w:rPr>
          <w:rFonts w:hint="eastAsia" w:ascii="仿宋" w:hAnsi="仿宋" w:eastAsia="仿宋" w:cs="仿宋"/>
          <w:color w:val="000000"/>
          <w:sz w:val="32"/>
          <w:szCs w:val="22"/>
          <w:lang w:val="en-US" w:eastAsia="zh-CN" w:bidi="ar-SA"/>
        </w:rPr>
        <w:t>的原则，</w:t>
      </w:r>
      <w:r>
        <w:rPr>
          <w:rFonts w:hint="eastAsia" w:ascii="仿宋" w:hAnsi="仿宋" w:eastAsia="仿宋" w:cs="仿宋"/>
          <w:color w:val="000000"/>
          <w:spacing w:val="-9"/>
          <w:sz w:val="32"/>
          <w:szCs w:val="22"/>
          <w:lang w:val="en-US" w:eastAsia="en-US" w:bidi="ar-SA"/>
        </w:rPr>
        <w:t>由非煤矿山、危险化学品、烟花爆竹、工贸、交通运输、</w:t>
      </w:r>
      <w:r>
        <w:rPr>
          <w:rFonts w:hint="eastAsia" w:ascii="仿宋" w:hAnsi="仿宋" w:eastAsia="仿宋" w:cs="仿宋"/>
          <w:color w:val="000000"/>
          <w:spacing w:val="-4"/>
          <w:sz w:val="32"/>
          <w:szCs w:val="22"/>
          <w:lang w:val="en-US" w:eastAsia="en-US" w:bidi="ar-SA"/>
        </w:rPr>
        <w:t>建筑、电力、特种设备、民爆物品、政务服务（评审、核查）、事故调查与分析、防灾减灾救灾、森林防灭火、防汛抗旱、地质灾害、地震灾害、灾害风险评估、应急通信、应急预案和应急救援、消防综合救援、规划编制、财务审计、经济政策、教育培训和舆情应对、法律法规、科技和信息化等若干专业组组成。</w:t>
      </w:r>
      <w:r>
        <w:rPr>
          <w:rFonts w:hint="eastAsia" w:ascii="仿宋" w:hAnsi="仿宋" w:eastAsia="仿宋" w:cs="仿宋"/>
          <w:b w:val="0"/>
          <w:bCs w:val="0"/>
          <w:color w:val="000000" w:themeColor="text1"/>
          <w:sz w:val="32"/>
          <w:szCs w:val="32"/>
          <w14:textFill>
            <w14:solidFill>
              <w14:schemeClr w14:val="tx1"/>
            </w14:solidFill>
          </w14:textFill>
        </w:rPr>
        <w:t>各专业组</w:t>
      </w:r>
      <w:r>
        <w:rPr>
          <w:rFonts w:hint="eastAsia" w:ascii="仿宋" w:hAnsi="仿宋" w:eastAsia="仿宋" w:cs="仿宋"/>
          <w:b w:val="0"/>
          <w:bCs w:val="0"/>
          <w:color w:val="000000" w:themeColor="text1"/>
          <w:sz w:val="32"/>
          <w:szCs w:val="32"/>
          <w:lang w:val="en-US" w:eastAsia="zh-CN"/>
          <w14:textFill>
            <w14:solidFill>
              <w14:schemeClr w14:val="tx1"/>
            </w14:solidFill>
          </w14:textFill>
        </w:rPr>
        <w:t>可以</w:t>
      </w:r>
      <w:r>
        <w:rPr>
          <w:rFonts w:hint="eastAsia" w:ascii="仿宋" w:hAnsi="仿宋" w:eastAsia="仿宋" w:cs="仿宋"/>
          <w:b w:val="0"/>
          <w:bCs w:val="0"/>
          <w:color w:val="000000" w:themeColor="text1"/>
          <w:sz w:val="32"/>
          <w:szCs w:val="32"/>
          <w14:textFill>
            <w14:solidFill>
              <w14:schemeClr w14:val="tx1"/>
            </w14:solidFill>
          </w14:textFill>
        </w:rPr>
        <w:t>根据工作需要</w:t>
      </w:r>
      <w:r>
        <w:rPr>
          <w:rFonts w:hint="eastAsia" w:ascii="仿宋" w:hAnsi="仿宋" w:eastAsia="仿宋" w:cs="仿宋"/>
          <w:b w:val="0"/>
          <w:bCs w:val="0"/>
          <w:color w:val="000000" w:themeColor="text1"/>
          <w:sz w:val="32"/>
          <w:szCs w:val="32"/>
          <w:lang w:val="en-US" w:eastAsia="zh-CN"/>
          <w14:textFill>
            <w14:solidFill>
              <w14:schemeClr w14:val="tx1"/>
            </w14:solidFill>
          </w14:textFill>
        </w:rPr>
        <w:t>调整</w:t>
      </w:r>
      <w:r>
        <w:rPr>
          <w:rFonts w:hint="eastAsia" w:ascii="仿宋" w:hAnsi="仿宋" w:eastAsia="仿宋" w:cs="仿宋"/>
          <w:b w:val="0"/>
          <w:bCs w:val="0"/>
          <w:color w:val="000000" w:themeColor="text1"/>
          <w:sz w:val="32"/>
          <w:szCs w:val="32"/>
          <w14:textFill>
            <w14:solidFill>
              <w14:schemeClr w14:val="tx1"/>
            </w14:solidFill>
          </w14:textFill>
        </w:rPr>
        <w:t>。</w:t>
      </w:r>
    </w:p>
    <w:p w14:paraId="5CFACD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第五条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局机关成立专家资格审查组，组长由局分管领导担任，成员由相关科室主要负责人、机关纪委负责人组成。</w:t>
      </w:r>
    </w:p>
    <w:p w14:paraId="7FB6CE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eastAsia="zh-CN"/>
          <w14:textFill>
            <w14:solidFill>
              <w14:schemeClr w14:val="tx1"/>
            </w14:solidFill>
          </w14:textFill>
        </w:rPr>
        <w:t>六</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市应急管理局相关科室负责本行业领域专业组专家资格初审、调配、使用工作，指导相关专业组开展活动。带领专家执行任务人员负责明确具体任务、活动安排，督促专家履行义务、遵守工作规则和廉洁纪律。</w:t>
      </w:r>
    </w:p>
    <w:p w14:paraId="687F98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eastAsia="zh-CN"/>
          <w14:textFill>
            <w14:solidFill>
              <w14:schemeClr w14:val="tx1"/>
            </w14:solidFill>
          </w14:textFill>
        </w:rPr>
        <w:t>七</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市应急管理局</w:t>
      </w:r>
      <w:r>
        <w:rPr>
          <w:rFonts w:hint="eastAsia" w:ascii="仿宋" w:hAnsi="仿宋" w:eastAsia="仿宋" w:cs="仿宋"/>
          <w:b w:val="0"/>
          <w:bCs w:val="0"/>
          <w:color w:val="000000" w:themeColor="text1"/>
          <w:sz w:val="32"/>
          <w:szCs w:val="32"/>
          <w:lang w:eastAsia="zh-CN"/>
          <w14:textFill>
            <w14:solidFill>
              <w14:schemeClr w14:val="tx1"/>
            </w14:solidFill>
          </w14:textFill>
        </w:rPr>
        <w:t>规划财务科</w:t>
      </w:r>
      <w:r>
        <w:rPr>
          <w:rFonts w:hint="eastAsia" w:ascii="仿宋" w:hAnsi="仿宋" w:eastAsia="仿宋" w:cs="仿宋"/>
          <w:b w:val="0"/>
          <w:bCs w:val="0"/>
          <w:color w:val="000000" w:themeColor="text1"/>
          <w:sz w:val="32"/>
          <w:szCs w:val="32"/>
          <w14:textFill>
            <w14:solidFill>
              <w14:schemeClr w14:val="tx1"/>
            </w14:solidFill>
          </w14:textFill>
        </w:rPr>
        <w:t>负责专家资格复审、解聘、信息发布等日常工作。</w:t>
      </w:r>
    </w:p>
    <w:p w14:paraId="0FD07C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32"/>
          <w:szCs w:val="32"/>
          <w14:textFill>
            <w14:solidFill>
              <w14:schemeClr w14:val="tx1"/>
            </w14:solidFill>
          </w14:textFill>
        </w:rPr>
      </w:pPr>
    </w:p>
    <w:p w14:paraId="06FBA0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第二章 专家选聘条件、程序</w:t>
      </w:r>
    </w:p>
    <w:p w14:paraId="4E17CC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eastAsia="zh-CN"/>
          <w14:textFill>
            <w14:solidFill>
              <w14:schemeClr w14:val="tx1"/>
            </w14:solidFill>
          </w14:textFill>
        </w:rPr>
        <w:t>八</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专家选聘遵循自愿申报和推荐申报相结合的原则。各有关单位组织符合下列条件的人员进行申报：</w:t>
      </w:r>
    </w:p>
    <w:p w14:paraId="1B2D7419">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（一）政治立场坚定，热爱应急管理事业，具有良好的职业道德，清正廉洁，秉公办事，愿意承担且能够胜任专家工作；</w:t>
      </w:r>
    </w:p>
    <w:p w14:paraId="6594D186">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（二）熟悉应急管理相关领域的法律法规标准规范，在相关专业领域具有一定的影响力；</w:t>
      </w:r>
    </w:p>
    <w:p w14:paraId="74092C07">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三</w:t>
      </w:r>
      <w:r>
        <w:rPr>
          <w:rFonts w:hint="eastAsia" w:ascii="仿宋" w:hAnsi="仿宋" w:eastAsia="仿宋" w:cs="仿宋"/>
          <w:b w:val="0"/>
          <w:bCs w:val="0"/>
          <w:color w:val="000000" w:themeColor="text1"/>
          <w:sz w:val="32"/>
          <w:szCs w:val="32"/>
          <w14:textFill>
            <w14:solidFill>
              <w14:schemeClr w14:val="tx1"/>
            </w14:solidFill>
          </w14:textFill>
        </w:rPr>
        <w:t>）具备</w:t>
      </w:r>
      <w:r>
        <w:rPr>
          <w:rFonts w:hint="eastAsia" w:ascii="仿宋" w:hAnsi="仿宋" w:eastAsia="仿宋" w:cs="仿宋"/>
          <w:color w:val="000000"/>
          <w:spacing w:val="-4"/>
          <w:sz w:val="32"/>
          <w:szCs w:val="22"/>
          <w:lang w:val="en-US" w:eastAsia="en-US" w:bidi="ar-SA"/>
        </w:rPr>
        <w:t>相关专业的大学学历</w:t>
      </w:r>
      <w:r>
        <w:rPr>
          <w:rFonts w:hint="eastAsia" w:ascii="仿宋" w:hAnsi="仿宋" w:eastAsia="仿宋" w:cs="仿宋"/>
          <w:b w:val="0"/>
          <w:bCs w:val="0"/>
          <w:color w:val="000000" w:themeColor="text1"/>
          <w:sz w:val="32"/>
          <w:szCs w:val="32"/>
          <w14:textFill>
            <w14:solidFill>
              <w14:schemeClr w14:val="tx1"/>
            </w14:solidFill>
          </w14:textFill>
        </w:rPr>
        <w:t>或中高级以上技术职称，</w:t>
      </w:r>
      <w:r>
        <w:rPr>
          <w:rFonts w:hint="eastAsia" w:ascii="仿宋" w:hAnsi="仿宋" w:eastAsia="仿宋" w:cs="仿宋"/>
          <w:b w:val="0"/>
          <w:bCs w:val="0"/>
          <w:color w:val="000000" w:themeColor="text1"/>
          <w:sz w:val="32"/>
          <w:szCs w:val="32"/>
          <w:lang w:eastAsia="zh-CN"/>
          <w14:textFill>
            <w14:solidFill>
              <w14:schemeClr w14:val="tx1"/>
            </w14:solidFill>
          </w14:textFill>
        </w:rPr>
        <w:t>或国家注册安全工程师、消防工程师资质以及本行业领域内的相应资质，且从事相关领域工作不少于</w:t>
      </w:r>
      <w:r>
        <w:rPr>
          <w:rFonts w:hint="eastAsia" w:ascii="仿宋" w:hAnsi="仿宋" w:eastAsia="仿宋" w:cs="仿宋"/>
          <w:b w:val="0"/>
          <w:bCs w:val="0"/>
          <w:color w:val="000000" w:themeColor="text1"/>
          <w:sz w:val="32"/>
          <w:szCs w:val="32"/>
          <w:lang w:val="en-US" w:eastAsia="zh-CN"/>
          <w14:textFill>
            <w14:solidFill>
              <w14:schemeClr w14:val="tx1"/>
            </w14:solidFill>
          </w14:textFill>
        </w:rPr>
        <w:t>5年；</w:t>
      </w:r>
    </w:p>
    <w:p w14:paraId="4819E4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val="0"/>
          <w:bCs w:val="0"/>
          <w:color w:val="000000" w:themeColor="text1"/>
          <w:sz w:val="32"/>
          <w:szCs w:val="32"/>
          <w:lang w:eastAsia="zh-CN"/>
          <w14:textFill>
            <w14:solidFill>
              <w14:schemeClr w14:val="tx1"/>
            </w14:solidFill>
          </w14:textFill>
        </w:rPr>
        <w:t>四</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无不良诚信记录，未列入职业禁入、失信人员名单</w:t>
      </w:r>
      <w:r>
        <w:rPr>
          <w:rFonts w:hint="eastAsia" w:ascii="仿宋" w:hAnsi="仿宋" w:eastAsia="仿宋" w:cs="仿宋"/>
          <w:b w:val="0"/>
          <w:bCs w:val="0"/>
          <w:color w:val="000000" w:themeColor="text1"/>
          <w:sz w:val="32"/>
          <w:szCs w:val="32"/>
          <w14:textFill>
            <w14:solidFill>
              <w14:schemeClr w14:val="tx1"/>
            </w14:solidFill>
          </w14:textFill>
        </w:rPr>
        <w:t>；</w:t>
      </w:r>
    </w:p>
    <w:p w14:paraId="62449D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val="0"/>
          <w:bCs w:val="0"/>
          <w:color w:val="000000" w:themeColor="text1"/>
          <w:sz w:val="32"/>
          <w:szCs w:val="32"/>
          <w:lang w:eastAsia="zh-CN"/>
          <w14:textFill>
            <w14:solidFill>
              <w14:schemeClr w14:val="tx1"/>
            </w14:solidFill>
          </w14:textFill>
        </w:rPr>
        <w:t>五</w:t>
      </w:r>
      <w:r>
        <w:rPr>
          <w:rFonts w:hint="eastAsia" w:ascii="仿宋" w:hAnsi="仿宋" w:eastAsia="仿宋" w:cs="仿宋"/>
          <w:b w:val="0"/>
          <w:bCs w:val="0"/>
          <w:color w:val="000000" w:themeColor="text1"/>
          <w:sz w:val="32"/>
          <w:szCs w:val="32"/>
          <w14:textFill>
            <w14:solidFill>
              <w14:schemeClr w14:val="tx1"/>
            </w14:solidFill>
          </w14:textFill>
        </w:rPr>
        <w:t>）身体健康，精力充沛，具备良好的心理素质，一般在</w:t>
      </w:r>
      <w:r>
        <w:rPr>
          <w:rFonts w:hint="eastAsia" w:ascii="仿宋" w:hAnsi="仿宋" w:eastAsia="仿宋" w:cs="仿宋"/>
          <w:b w:val="0"/>
          <w:bCs w:val="0"/>
          <w:color w:val="000000" w:themeColor="text1"/>
          <w:sz w:val="32"/>
          <w:szCs w:val="32"/>
          <w:lang w:eastAsia="zh-CN"/>
          <w14:textFill>
            <w14:solidFill>
              <w14:schemeClr w14:val="tx1"/>
            </w14:solidFill>
          </w14:textFill>
        </w:rPr>
        <w:t>襄阳辖区</w:t>
      </w:r>
      <w:r>
        <w:rPr>
          <w:rFonts w:hint="eastAsia" w:ascii="仿宋" w:hAnsi="仿宋" w:eastAsia="仿宋" w:cs="仿宋"/>
          <w:b w:val="0"/>
          <w:bCs w:val="0"/>
          <w:color w:val="000000" w:themeColor="text1"/>
          <w:sz w:val="32"/>
          <w:szCs w:val="32"/>
          <w14:textFill>
            <w14:solidFill>
              <w14:schemeClr w14:val="tx1"/>
            </w14:solidFill>
          </w14:textFill>
        </w:rPr>
        <w:t>内工作或生活，年龄原则上不超过65</w:t>
      </w:r>
      <w:r>
        <w:rPr>
          <w:rFonts w:hint="eastAsia" w:ascii="仿宋" w:hAnsi="仿宋" w:eastAsia="仿宋" w:cs="仿宋"/>
          <w:b w:val="0"/>
          <w:bCs w:val="0"/>
          <w:color w:val="000000" w:themeColor="text1"/>
          <w:sz w:val="32"/>
          <w:szCs w:val="32"/>
          <w:lang w:val="en-US" w:eastAsia="zh-CN"/>
          <w14:textFill>
            <w14:solidFill>
              <w14:schemeClr w14:val="tx1"/>
            </w14:solidFill>
          </w14:textFill>
        </w:rPr>
        <w:t>周</w:t>
      </w:r>
      <w:r>
        <w:rPr>
          <w:rFonts w:hint="eastAsia" w:ascii="仿宋" w:hAnsi="仿宋" w:eastAsia="仿宋" w:cs="仿宋"/>
          <w:b w:val="0"/>
          <w:bCs w:val="0"/>
          <w:color w:val="000000" w:themeColor="text1"/>
          <w:sz w:val="32"/>
          <w:szCs w:val="32"/>
          <w14:textFill>
            <w14:solidFill>
              <w14:schemeClr w14:val="tx1"/>
            </w14:solidFill>
          </w14:textFill>
        </w:rPr>
        <w:t>岁，在精力和时间上能够保证参加专家活动；</w:t>
      </w:r>
    </w:p>
    <w:p w14:paraId="6143CD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val="0"/>
          <w:bCs w:val="0"/>
          <w:color w:val="000000" w:themeColor="text1"/>
          <w:sz w:val="32"/>
          <w:szCs w:val="32"/>
          <w:lang w:eastAsia="zh-CN"/>
          <w14:textFill>
            <w14:solidFill>
              <w14:schemeClr w14:val="tx1"/>
            </w14:solidFill>
          </w14:textFill>
        </w:rPr>
        <w:t>六</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能深入现场开展安全生产、防灾减灾、应急救援等相关业务工作，有较强现场发现、分析和解决事故隐患、决策咨询的能力，有较强参与事故调查分析、相关检查审查等能力；</w:t>
      </w:r>
    </w:p>
    <w:p w14:paraId="6D055A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val="0"/>
          <w:bCs w:val="0"/>
          <w:color w:val="000000" w:themeColor="text1"/>
          <w:sz w:val="32"/>
          <w:szCs w:val="32"/>
          <w:lang w:eastAsia="zh-CN"/>
          <w14:textFill>
            <w14:solidFill>
              <w14:schemeClr w14:val="tx1"/>
            </w14:solidFill>
          </w14:textFill>
        </w:rPr>
        <w:t>七</w:t>
      </w:r>
      <w:r>
        <w:rPr>
          <w:rFonts w:hint="eastAsia" w:ascii="仿宋" w:hAnsi="仿宋" w:eastAsia="仿宋" w:cs="仿宋"/>
          <w:b w:val="0"/>
          <w:bCs w:val="0"/>
          <w:color w:val="000000" w:themeColor="text1"/>
          <w:sz w:val="32"/>
          <w:szCs w:val="32"/>
          <w14:textFill>
            <w14:solidFill>
              <w14:schemeClr w14:val="tx1"/>
            </w14:solidFill>
          </w14:textFill>
        </w:rPr>
        <w:t>）申请成为应急管理专家前三年内，无本办法第二十</w:t>
      </w:r>
      <w:r>
        <w:rPr>
          <w:rFonts w:hint="eastAsia" w:ascii="仿宋" w:hAnsi="仿宋" w:eastAsia="仿宋" w:cs="仿宋"/>
          <w:b w:val="0"/>
          <w:bCs w:val="0"/>
          <w:color w:val="000000" w:themeColor="text1"/>
          <w:sz w:val="32"/>
          <w:szCs w:val="32"/>
          <w:lang w:val="en-US" w:eastAsia="zh-CN"/>
          <w14:textFill>
            <w14:solidFill>
              <w14:schemeClr w14:val="tx1"/>
            </w14:solidFill>
          </w14:textFill>
        </w:rPr>
        <w:t>七</w:t>
      </w:r>
      <w:r>
        <w:rPr>
          <w:rFonts w:hint="eastAsia" w:ascii="仿宋" w:hAnsi="仿宋" w:eastAsia="仿宋" w:cs="仿宋"/>
          <w:b w:val="0"/>
          <w:bCs w:val="0"/>
          <w:color w:val="000000" w:themeColor="text1"/>
          <w:sz w:val="32"/>
          <w:szCs w:val="32"/>
          <w14:textFill>
            <w14:solidFill>
              <w14:schemeClr w14:val="tx1"/>
            </w14:solidFill>
          </w14:textFill>
        </w:rPr>
        <w:t>条规定的不良行为记录；</w:t>
      </w:r>
    </w:p>
    <w:p w14:paraId="099379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eastAsia="zh-CN"/>
          <w14:textFill>
            <w14:solidFill>
              <w14:schemeClr w14:val="tx1"/>
            </w14:solidFill>
          </w14:textFill>
        </w:rPr>
        <w:t>九</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专家选聘分为信息发布、申报、</w:t>
      </w:r>
      <w:r>
        <w:rPr>
          <w:rFonts w:hint="eastAsia" w:ascii="仿宋" w:hAnsi="仿宋" w:eastAsia="仿宋" w:cs="仿宋"/>
          <w:b w:val="0"/>
          <w:bCs w:val="0"/>
          <w:color w:val="000000" w:themeColor="text1"/>
          <w:sz w:val="32"/>
          <w:szCs w:val="32"/>
          <w:lang w:eastAsia="zh-CN"/>
          <w14:textFill>
            <w14:solidFill>
              <w14:schemeClr w14:val="tx1"/>
            </w14:solidFill>
          </w14:textFill>
        </w:rPr>
        <w:t>审核</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审定</w:t>
      </w:r>
      <w:r>
        <w:rPr>
          <w:rFonts w:hint="eastAsia" w:ascii="仿宋" w:hAnsi="仿宋" w:eastAsia="仿宋" w:cs="仿宋"/>
          <w:b w:val="0"/>
          <w:bCs w:val="0"/>
          <w:color w:val="000000" w:themeColor="text1"/>
          <w:sz w:val="32"/>
          <w:szCs w:val="32"/>
          <w14:textFill>
            <w14:solidFill>
              <w14:schemeClr w14:val="tx1"/>
            </w14:solidFill>
          </w14:textFill>
        </w:rPr>
        <w:t>、公示和聘任六个环节：</w:t>
      </w:r>
    </w:p>
    <w:p w14:paraId="5F2337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（一）信息发布。市应急管理局发布选聘应急管理专家信息，明确推荐专家的基本条件、推荐方式等内容；</w:t>
      </w:r>
    </w:p>
    <w:p w14:paraId="08667C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（二）申报。申请应急管理专家的人员，如实填写《</w:t>
      </w:r>
      <w:r>
        <w:rPr>
          <w:rFonts w:hint="eastAsia" w:ascii="仿宋" w:hAnsi="仿宋" w:eastAsia="仿宋" w:cs="仿宋"/>
          <w:b w:val="0"/>
          <w:bCs w:val="0"/>
          <w:color w:val="000000" w:themeColor="text1"/>
          <w:sz w:val="32"/>
          <w:szCs w:val="32"/>
          <w:lang w:eastAsia="zh-CN"/>
          <w14:textFill>
            <w14:solidFill>
              <w14:schemeClr w14:val="tx1"/>
            </w14:solidFill>
          </w14:textFill>
        </w:rPr>
        <w:t>襄阳</w:t>
      </w:r>
      <w:r>
        <w:rPr>
          <w:rFonts w:hint="eastAsia" w:ascii="仿宋" w:hAnsi="仿宋" w:eastAsia="仿宋" w:cs="仿宋"/>
          <w:b w:val="0"/>
          <w:bCs w:val="0"/>
          <w:color w:val="000000" w:themeColor="text1"/>
          <w:sz w:val="32"/>
          <w:szCs w:val="32"/>
          <w14:textFill>
            <w14:solidFill>
              <w14:schemeClr w14:val="tx1"/>
            </w14:solidFill>
          </w14:textFill>
        </w:rPr>
        <w:t>市应急管理专家申报表》（附件1）</w:t>
      </w:r>
      <w:r>
        <w:rPr>
          <w:rFonts w:hint="eastAsia" w:ascii="仿宋" w:hAnsi="仿宋" w:eastAsia="仿宋" w:cs="仿宋"/>
          <w:b w:val="0"/>
          <w:bCs w:val="0"/>
          <w:color w:val="000000" w:themeColor="text1"/>
          <w:sz w:val="32"/>
          <w:szCs w:val="32"/>
          <w:lang w:val="en-US" w:eastAsia="zh-CN"/>
          <w14:textFill>
            <w14:solidFill>
              <w14:schemeClr w14:val="tx1"/>
            </w14:solidFill>
          </w14:textFill>
        </w:rPr>
        <w:t>和《</w:t>
      </w:r>
      <w:r>
        <w:rPr>
          <w:rFonts w:hint="eastAsia" w:ascii="仿宋" w:hAnsi="仿宋" w:eastAsia="仿宋" w:cs="仿宋"/>
          <w:color w:val="000000"/>
          <w:sz w:val="32"/>
          <w:szCs w:val="22"/>
          <w:lang w:val="en-US" w:eastAsia="zh-CN" w:bidi="ar-SA"/>
        </w:rPr>
        <w:t>襄阳市</w:t>
      </w:r>
      <w:r>
        <w:rPr>
          <w:rFonts w:hint="eastAsia" w:ascii="仿宋" w:hAnsi="仿宋" w:eastAsia="仿宋" w:cs="仿宋"/>
          <w:color w:val="000000"/>
          <w:sz w:val="32"/>
          <w:szCs w:val="22"/>
          <w:lang w:val="en-US" w:eastAsia="en-US" w:bidi="ar-SA"/>
        </w:rPr>
        <w:t>应急管理专家职业操守承诺书</w:t>
      </w:r>
      <w:r>
        <w:rPr>
          <w:rFonts w:hint="eastAsia" w:ascii="仿宋" w:hAnsi="仿宋" w:eastAsia="仿宋" w:cs="仿宋"/>
          <w:b w:val="0"/>
          <w:bCs w:val="0"/>
          <w:color w:val="000000" w:themeColor="text1"/>
          <w:sz w:val="32"/>
          <w:szCs w:val="32"/>
          <w:lang w:val="en-US" w:eastAsia="zh-CN"/>
          <w14:textFill>
            <w14:solidFill>
              <w14:schemeClr w14:val="tx1"/>
            </w14:solidFill>
          </w14:textFill>
        </w:rPr>
        <w:t>》（附件2）</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并加盖推荐单位公章，连同身份证、学历（学位）证书、职称证书、相关资格证书等复印件证明材料报送市应急管理局。在职人员申报专家由所在单位签署推荐意见，退休</w:t>
      </w:r>
      <w:r>
        <w:rPr>
          <w:rFonts w:hint="eastAsia" w:ascii="仿宋" w:hAnsi="仿宋" w:eastAsia="仿宋" w:cs="仿宋"/>
          <w:b w:val="0"/>
          <w:bCs w:val="0"/>
          <w:color w:val="000000" w:themeColor="text1"/>
          <w:sz w:val="32"/>
          <w:szCs w:val="32"/>
          <w14:textFill>
            <w14:solidFill>
              <w14:schemeClr w14:val="tx1"/>
            </w14:solidFill>
          </w14:textFill>
        </w:rPr>
        <w:t>人员</w:t>
      </w:r>
      <w:r>
        <w:rPr>
          <w:rFonts w:hint="eastAsia" w:ascii="仿宋" w:hAnsi="仿宋" w:eastAsia="仿宋" w:cs="仿宋"/>
          <w:b w:val="0"/>
          <w:bCs w:val="0"/>
          <w:color w:val="000000" w:themeColor="text1"/>
          <w:sz w:val="32"/>
          <w:szCs w:val="32"/>
          <w:lang w:eastAsia="zh-CN"/>
          <w14:textFill>
            <w14:solidFill>
              <w14:schemeClr w14:val="tx1"/>
            </w14:solidFill>
          </w14:textFill>
        </w:rPr>
        <w:t>及其他人员可</w:t>
      </w:r>
      <w:r>
        <w:rPr>
          <w:rFonts w:hint="eastAsia" w:ascii="仿宋" w:hAnsi="仿宋" w:eastAsia="仿宋" w:cs="仿宋"/>
          <w:b w:val="0"/>
          <w:bCs w:val="0"/>
          <w:color w:val="000000" w:themeColor="text1"/>
          <w:sz w:val="32"/>
          <w:szCs w:val="32"/>
          <w14:textFill>
            <w14:solidFill>
              <w14:schemeClr w14:val="tx1"/>
            </w14:solidFill>
          </w14:textFill>
        </w:rPr>
        <w:t>由原单位</w:t>
      </w:r>
      <w:r>
        <w:rPr>
          <w:rFonts w:hint="eastAsia" w:ascii="仿宋" w:hAnsi="仿宋" w:eastAsia="仿宋" w:cs="仿宋"/>
          <w:b w:val="0"/>
          <w:bCs w:val="0"/>
          <w:color w:val="000000" w:themeColor="text1"/>
          <w:sz w:val="32"/>
          <w:szCs w:val="32"/>
          <w:lang w:eastAsia="zh-CN"/>
          <w14:textFill>
            <w14:solidFill>
              <w14:schemeClr w14:val="tx1"/>
            </w14:solidFill>
          </w14:textFill>
        </w:rPr>
        <w:t>或当地应急管理部门</w:t>
      </w:r>
      <w:r>
        <w:rPr>
          <w:rFonts w:hint="eastAsia" w:ascii="仿宋" w:hAnsi="仿宋" w:eastAsia="仿宋" w:cs="仿宋"/>
          <w:b w:val="0"/>
          <w:bCs w:val="0"/>
          <w:color w:val="000000" w:themeColor="text1"/>
          <w:sz w:val="32"/>
          <w:szCs w:val="32"/>
          <w14:textFill>
            <w14:solidFill>
              <w14:schemeClr w14:val="tx1"/>
            </w14:solidFill>
          </w14:textFill>
        </w:rPr>
        <w:t>签署</w:t>
      </w:r>
      <w:r>
        <w:rPr>
          <w:rFonts w:hint="eastAsia" w:ascii="仿宋" w:hAnsi="仿宋" w:eastAsia="仿宋" w:cs="仿宋"/>
          <w:b w:val="0"/>
          <w:bCs w:val="0"/>
          <w:color w:val="000000" w:themeColor="text1"/>
          <w:sz w:val="32"/>
          <w:szCs w:val="32"/>
          <w:lang w:eastAsia="zh-CN"/>
          <w14:textFill>
            <w14:solidFill>
              <w14:schemeClr w14:val="tx1"/>
            </w14:solidFill>
          </w14:textFill>
        </w:rPr>
        <w:t>推荐</w:t>
      </w:r>
      <w:r>
        <w:rPr>
          <w:rFonts w:hint="eastAsia" w:ascii="仿宋" w:hAnsi="仿宋" w:eastAsia="仿宋" w:cs="仿宋"/>
          <w:b w:val="0"/>
          <w:bCs w:val="0"/>
          <w:color w:val="000000" w:themeColor="text1"/>
          <w:sz w:val="32"/>
          <w:szCs w:val="32"/>
          <w14:textFill>
            <w14:solidFill>
              <w14:schemeClr w14:val="tx1"/>
            </w14:solidFill>
          </w14:textFill>
        </w:rPr>
        <w:t>意见；</w:t>
      </w:r>
    </w:p>
    <w:p w14:paraId="506592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（三）审</w:t>
      </w:r>
      <w:r>
        <w:rPr>
          <w:rFonts w:hint="eastAsia" w:ascii="仿宋" w:hAnsi="仿宋" w:eastAsia="仿宋" w:cs="仿宋"/>
          <w:b w:val="0"/>
          <w:bCs w:val="0"/>
          <w:color w:val="000000" w:themeColor="text1"/>
          <w:sz w:val="32"/>
          <w:szCs w:val="32"/>
          <w:lang w:eastAsia="zh-CN"/>
          <w14:textFill>
            <w14:solidFill>
              <w14:schemeClr w14:val="tx1"/>
            </w14:solidFill>
          </w14:textFill>
        </w:rPr>
        <w:t>核</w:t>
      </w:r>
      <w:r>
        <w:rPr>
          <w:rFonts w:hint="eastAsia" w:ascii="仿宋" w:hAnsi="仿宋" w:eastAsia="仿宋" w:cs="仿宋"/>
          <w:b w:val="0"/>
          <w:bCs w:val="0"/>
          <w:color w:val="000000" w:themeColor="text1"/>
          <w:sz w:val="32"/>
          <w:szCs w:val="32"/>
          <w14:textFill>
            <w14:solidFill>
              <w14:schemeClr w14:val="tx1"/>
            </w14:solidFill>
          </w14:textFill>
        </w:rPr>
        <w:t>。市应急管理局</w:t>
      </w:r>
      <w:r>
        <w:rPr>
          <w:rFonts w:hint="eastAsia" w:ascii="仿宋" w:hAnsi="仿宋" w:eastAsia="仿宋" w:cs="仿宋"/>
          <w:b w:val="0"/>
          <w:bCs w:val="0"/>
          <w:color w:val="000000" w:themeColor="text1"/>
          <w:sz w:val="32"/>
          <w:szCs w:val="32"/>
          <w:lang w:eastAsia="zh-CN"/>
          <w14:textFill>
            <w14:solidFill>
              <w14:schemeClr w14:val="tx1"/>
            </w14:solidFill>
          </w14:textFill>
        </w:rPr>
        <w:t>相关科室（单位）对申报人应具备的条件进行审核、对专业技术能力进行综合评估，提出符合条件并能胜任专家工作的推荐人员名单，经分管本科室（单位）领导审签后，报送专家综合管理部门；</w:t>
      </w:r>
    </w:p>
    <w:p w14:paraId="239DB5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（四）</w:t>
      </w:r>
      <w:r>
        <w:rPr>
          <w:rFonts w:hint="eastAsia" w:ascii="仿宋" w:hAnsi="仿宋" w:eastAsia="仿宋" w:cs="仿宋"/>
          <w:b w:val="0"/>
          <w:bCs w:val="0"/>
          <w:color w:val="000000" w:themeColor="text1"/>
          <w:sz w:val="32"/>
          <w:szCs w:val="32"/>
          <w:lang w:eastAsia="zh-CN"/>
          <w14:textFill>
            <w14:solidFill>
              <w14:schemeClr w14:val="tx1"/>
            </w14:solidFill>
          </w14:textFill>
        </w:rPr>
        <w:t>审定</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专家综合管理部门根据相关科室（单位）提交的推荐人员名单，组织进行把关审查后，汇总生成专家库专家建议名单，报请局长办公会审定</w:t>
      </w:r>
      <w:r>
        <w:rPr>
          <w:rFonts w:hint="eastAsia" w:ascii="仿宋" w:hAnsi="仿宋" w:eastAsia="仿宋" w:cs="仿宋"/>
          <w:b w:val="0"/>
          <w:bCs w:val="0"/>
          <w:color w:val="000000" w:themeColor="text1"/>
          <w:sz w:val="32"/>
          <w:szCs w:val="32"/>
          <w14:textFill>
            <w14:solidFill>
              <w14:schemeClr w14:val="tx1"/>
            </w14:solidFill>
          </w14:textFill>
        </w:rPr>
        <w:t>；</w:t>
      </w:r>
    </w:p>
    <w:p w14:paraId="2244F2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（五）公示。</w:t>
      </w:r>
      <w:r>
        <w:rPr>
          <w:rFonts w:hint="eastAsia" w:ascii="仿宋" w:hAnsi="仿宋" w:eastAsia="仿宋" w:cs="仿宋"/>
          <w:b w:val="0"/>
          <w:bCs w:val="0"/>
          <w:color w:val="000000" w:themeColor="text1"/>
          <w:sz w:val="32"/>
          <w:szCs w:val="32"/>
          <w:lang w:eastAsia="zh-CN"/>
          <w14:textFill>
            <w14:solidFill>
              <w14:schemeClr w14:val="tx1"/>
            </w14:solidFill>
          </w14:textFill>
        </w:rPr>
        <w:t>审定通过的人员名单，在市应急管理局门户网站进行公示，</w:t>
      </w:r>
      <w:r>
        <w:rPr>
          <w:rFonts w:hint="eastAsia" w:ascii="仿宋" w:hAnsi="仿宋" w:eastAsia="仿宋" w:cs="仿宋"/>
          <w:b w:val="0"/>
          <w:bCs w:val="0"/>
          <w:color w:val="000000" w:themeColor="text1"/>
          <w:sz w:val="32"/>
          <w:szCs w:val="32"/>
          <w14:textFill>
            <w14:solidFill>
              <w14:schemeClr w14:val="tx1"/>
            </w14:solidFill>
          </w14:textFill>
        </w:rPr>
        <w:t>接受社会监督；</w:t>
      </w:r>
    </w:p>
    <w:p w14:paraId="1242CF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（六）聘任。拟聘任专家经公示后无异议，录入专家管理系统，在市应急管理局网站予以公告。</w:t>
      </w:r>
    </w:p>
    <w:p w14:paraId="0924FB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第十条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专家实行选聘制，任期3年，选聘期满经专家资格审查组审查后可续聘。</w:t>
      </w:r>
    </w:p>
    <w:p w14:paraId="5B91D9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eastAsia="zh-CN"/>
          <w14:textFill>
            <w14:solidFill>
              <w14:schemeClr w14:val="tx1"/>
            </w14:solidFill>
          </w14:textFill>
        </w:rPr>
        <w:t>一</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市应急管理局对专家库中的专家实施动态管理，视情况对专家库专家进行调整。专家有下列情形之一的，予以解聘，并书面通知推荐单位和本人，有关证件应交回市应急管理局，市应急管理局将名单从专家库中移出。</w:t>
      </w:r>
    </w:p>
    <w:p w14:paraId="18444C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（一）不符合本办法第九条规定条件；</w:t>
      </w:r>
    </w:p>
    <w:p w14:paraId="584FD2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（二）专家本人或专家所在单位提出不再担任专家；</w:t>
      </w:r>
    </w:p>
    <w:p w14:paraId="4567B6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（三）因身体条件、工作变动等原因，不适宜再担任专家工作的；</w:t>
      </w:r>
    </w:p>
    <w:p w14:paraId="26AFD6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（四）存在本办法第二十六条规定，第二十</w:t>
      </w:r>
      <w:r>
        <w:rPr>
          <w:rFonts w:hint="eastAsia" w:ascii="仿宋" w:hAnsi="仿宋" w:eastAsia="仿宋" w:cs="仿宋"/>
          <w:b w:val="0"/>
          <w:bCs w:val="0"/>
          <w:color w:val="000000" w:themeColor="text1"/>
          <w:sz w:val="32"/>
          <w:szCs w:val="32"/>
          <w:lang w:eastAsia="zh-CN"/>
          <w14:textFill>
            <w14:solidFill>
              <w14:schemeClr w14:val="tx1"/>
            </w14:solidFill>
          </w14:textFill>
        </w:rPr>
        <w:t>七</w:t>
      </w:r>
      <w:r>
        <w:rPr>
          <w:rFonts w:hint="eastAsia" w:ascii="仿宋" w:hAnsi="仿宋" w:eastAsia="仿宋" w:cs="仿宋"/>
          <w:b w:val="0"/>
          <w:bCs w:val="0"/>
          <w:color w:val="000000" w:themeColor="text1"/>
          <w:sz w:val="32"/>
          <w:szCs w:val="32"/>
          <w14:textFill>
            <w14:solidFill>
              <w14:schemeClr w14:val="tx1"/>
            </w14:solidFill>
          </w14:textFill>
        </w:rPr>
        <w:t>条规定的不良行为记录；</w:t>
      </w:r>
    </w:p>
    <w:p w14:paraId="2F2A7D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（五）受到刑事处罚；</w:t>
      </w:r>
    </w:p>
    <w:p w14:paraId="0EE2F2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（六）其他不适合担任专家的情形。</w:t>
      </w:r>
    </w:p>
    <w:p w14:paraId="734E07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32"/>
          <w:szCs w:val="32"/>
          <w14:textFill>
            <w14:solidFill>
              <w14:schemeClr w14:val="tx1"/>
            </w14:solidFill>
          </w14:textFill>
        </w:rPr>
      </w:pPr>
    </w:p>
    <w:p w14:paraId="1DC9EA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第三章 专家工作职责、权利和义务</w:t>
      </w:r>
    </w:p>
    <w:p w14:paraId="3E279C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eastAsia="zh-CN"/>
          <w14:textFill>
            <w14:solidFill>
              <w14:schemeClr w14:val="tx1"/>
            </w14:solidFill>
          </w14:textFill>
        </w:rPr>
        <w:t>二</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专家根据需要履行下列工作职责：</w:t>
      </w:r>
    </w:p>
    <w:p w14:paraId="440435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（一）参与应急管理发展规划、政策措施、法律规章、技术标准以及应急管理专项工作研究、论证和起草工作；</w:t>
      </w:r>
    </w:p>
    <w:p w14:paraId="12CC86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（二）参与应急管理工作调研，提出对策和建议；</w:t>
      </w:r>
    </w:p>
    <w:p w14:paraId="4CD68C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（三）参与市应急管理局组织开展的检查、隐患排查治理等工作；</w:t>
      </w:r>
    </w:p>
    <w:p w14:paraId="246733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（四）参与事故（灾害）应急救援、调查的技术工作；</w:t>
      </w:r>
    </w:p>
    <w:p w14:paraId="709906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（五）参与有关应急管理技术交流；</w:t>
      </w:r>
    </w:p>
    <w:p w14:paraId="704C83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（六）参与有关应急管理新产品、新技术、新工艺、新成果、新装备推广应用工作；</w:t>
      </w:r>
    </w:p>
    <w:p w14:paraId="004E7A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val="0"/>
          <w:bCs w:val="0"/>
          <w:color w:val="000000" w:themeColor="text1"/>
          <w:sz w:val="32"/>
          <w:szCs w:val="32"/>
          <w:lang w:val="en-US" w:eastAsia="zh-CN"/>
          <w14:textFill>
            <w14:solidFill>
              <w14:schemeClr w14:val="tx1"/>
            </w14:solidFill>
          </w14:textFill>
        </w:rPr>
        <w:t>七</w:t>
      </w:r>
      <w:r>
        <w:rPr>
          <w:rFonts w:hint="eastAsia" w:ascii="仿宋" w:hAnsi="仿宋" w:eastAsia="仿宋" w:cs="仿宋"/>
          <w:b w:val="0"/>
          <w:bCs w:val="0"/>
          <w:color w:val="000000" w:themeColor="text1"/>
          <w:sz w:val="32"/>
          <w:szCs w:val="32"/>
          <w14:textFill>
            <w14:solidFill>
              <w14:schemeClr w14:val="tx1"/>
            </w14:solidFill>
          </w14:textFill>
        </w:rPr>
        <w:t>）参与有关应急管理教育培训工作；</w:t>
      </w:r>
    </w:p>
    <w:p w14:paraId="336FDF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val="0"/>
          <w:bCs w:val="0"/>
          <w:color w:val="000000" w:themeColor="text1"/>
          <w:sz w:val="32"/>
          <w:szCs w:val="32"/>
          <w:lang w:val="en-US" w:eastAsia="zh-CN"/>
          <w14:textFill>
            <w14:solidFill>
              <w14:schemeClr w14:val="tx1"/>
            </w14:solidFill>
          </w14:textFill>
        </w:rPr>
        <w:t>八</w:t>
      </w:r>
      <w:r>
        <w:rPr>
          <w:rFonts w:hint="eastAsia" w:ascii="仿宋" w:hAnsi="仿宋" w:eastAsia="仿宋" w:cs="仿宋"/>
          <w:b w:val="0"/>
          <w:bCs w:val="0"/>
          <w:color w:val="000000" w:themeColor="text1"/>
          <w:sz w:val="32"/>
          <w:szCs w:val="32"/>
          <w14:textFill>
            <w14:solidFill>
              <w14:schemeClr w14:val="tx1"/>
            </w14:solidFill>
          </w14:textFill>
        </w:rPr>
        <w:t>）参与市应急管理局委托的其他工作。</w:t>
      </w:r>
    </w:p>
    <w:p w14:paraId="1F6C7B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eastAsia="zh-CN"/>
          <w14:textFill>
            <w14:solidFill>
              <w14:schemeClr w14:val="tx1"/>
            </w14:solidFill>
          </w14:textFill>
        </w:rPr>
        <w:t>三</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专家的基本权利：</w:t>
      </w:r>
    </w:p>
    <w:p w14:paraId="16C964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（一）受邀参加应急管理方面技术服务、专业会议和专题活动；</w:t>
      </w:r>
    </w:p>
    <w:p w14:paraId="34CC71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（二）对应急管理检查、调研、论证、评审、咨询、服务等工作有知情权，根据需要按规定查阅相关文件，查阅企业相关技术资料；</w:t>
      </w:r>
    </w:p>
    <w:p w14:paraId="5C47CC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（三）充分发表个人独立意见，不受任何单位和个人的干预并有保留个人意见和建议的权利；</w:t>
      </w:r>
    </w:p>
    <w:p w14:paraId="48C2BA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（四）在应急管理技术服务活动中，对违反工作原则的要求和行为，可以提出异议并拒绝；</w:t>
      </w:r>
    </w:p>
    <w:p w14:paraId="49B290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（五）有权提出不再担任专家的申请；</w:t>
      </w:r>
    </w:p>
    <w:p w14:paraId="015072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（六）法律、法规规定的其他权利。</w:t>
      </w:r>
    </w:p>
    <w:p w14:paraId="66DA80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eastAsia="zh-CN"/>
          <w14:textFill>
            <w14:solidFill>
              <w14:schemeClr w14:val="tx1"/>
            </w14:solidFill>
          </w14:textFill>
        </w:rPr>
        <w:t>四</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专家应当遵守以下规定：</w:t>
      </w:r>
    </w:p>
    <w:p w14:paraId="5E438B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（一）严格履行专家职责，积极参加调配单位组织的应急管理相关技术服务工作；</w:t>
      </w:r>
    </w:p>
    <w:p w14:paraId="335E29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（二）遵守国家保密制度，保守国家秘密和个人隐私，保守被服务对象的商业和技术秘密；</w:t>
      </w:r>
    </w:p>
    <w:p w14:paraId="5C1690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（三）遵守职业道德，公平公正、客观科学地开展工作，对提出的观点、意见负责，并承担法律责任；对指出的问题需详细解释原因，有标准和规范依据；</w:t>
      </w:r>
    </w:p>
    <w:p w14:paraId="170F2D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（四）遵守政治纪律、廉洁纪律等各项纪律，严格遵守中央八项规定及实施细则精神，工作中不参加宴请、不接受礼品礼金等；</w:t>
      </w:r>
    </w:p>
    <w:p w14:paraId="59BED6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（五）接到专家工作任务通知后，应及时报所在单位同意，若所在单位不同意，应立即向专家使用单位反馈信息；</w:t>
      </w:r>
    </w:p>
    <w:p w14:paraId="1FC5EA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（六）未经批准，不得以市应急管理局专家名义组织或参加任何活动；</w:t>
      </w:r>
    </w:p>
    <w:p w14:paraId="227760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（七）参加应急救援时，服从现场指挥部的统一领导；</w:t>
      </w:r>
    </w:p>
    <w:p w14:paraId="298F29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（八）法律、法规规定的其他义务。</w:t>
      </w:r>
    </w:p>
    <w:p w14:paraId="771171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eastAsia="zh-CN"/>
          <w14:textFill>
            <w14:solidFill>
              <w14:schemeClr w14:val="tx1"/>
            </w14:solidFill>
          </w14:textFill>
        </w:rPr>
        <w:t>五</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委派专家实行回避制度，专家在了解其与任务对象存在下列情形的，应主动申明并回避。</w:t>
      </w:r>
    </w:p>
    <w:p w14:paraId="16054C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（一）对专家所在单位进行检查（评审）；</w:t>
      </w:r>
    </w:p>
    <w:p w14:paraId="134E07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（二）专家所在单位与被检查（评审）单位存在隶属关系；</w:t>
      </w:r>
    </w:p>
    <w:p w14:paraId="48BB79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val="0"/>
          <w:bCs w:val="0"/>
          <w:color w:val="000000" w:themeColor="text1"/>
          <w:sz w:val="32"/>
          <w:szCs w:val="32"/>
          <w:lang w:eastAsia="zh-CN"/>
          <w14:textFill>
            <w14:solidFill>
              <w14:schemeClr w14:val="tx1"/>
            </w14:solidFill>
          </w14:textFill>
        </w:rPr>
        <w:t>三</w:t>
      </w:r>
      <w:r>
        <w:rPr>
          <w:rFonts w:hint="eastAsia" w:ascii="仿宋" w:hAnsi="仿宋" w:eastAsia="仿宋" w:cs="仿宋"/>
          <w:b w:val="0"/>
          <w:bCs w:val="0"/>
          <w:color w:val="000000" w:themeColor="text1"/>
          <w:sz w:val="32"/>
          <w:szCs w:val="32"/>
          <w14:textFill>
            <w14:solidFill>
              <w14:schemeClr w14:val="tx1"/>
            </w14:solidFill>
          </w14:textFill>
        </w:rPr>
        <w:t>）专家本人与被检查（评审）单位存在利害关系，如：专家配偶或直系亲属在被检查（评审）单位工作或持有股份，专家本人或所在单位与被检查单位发生过法律纠纷；</w:t>
      </w:r>
    </w:p>
    <w:p w14:paraId="4A02BD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val="0"/>
          <w:bCs w:val="0"/>
          <w:color w:val="000000" w:themeColor="text1"/>
          <w:sz w:val="32"/>
          <w:szCs w:val="32"/>
          <w:lang w:eastAsia="zh-CN"/>
          <w14:textFill>
            <w14:solidFill>
              <w14:schemeClr w14:val="tx1"/>
            </w14:solidFill>
          </w14:textFill>
        </w:rPr>
        <w:t>四</w:t>
      </w:r>
      <w:r>
        <w:rPr>
          <w:rFonts w:hint="eastAsia" w:ascii="仿宋" w:hAnsi="仿宋" w:eastAsia="仿宋" w:cs="仿宋"/>
          <w:b w:val="0"/>
          <w:bCs w:val="0"/>
          <w:color w:val="000000" w:themeColor="text1"/>
          <w:sz w:val="32"/>
          <w:szCs w:val="32"/>
          <w14:textFill>
            <w14:solidFill>
              <w14:schemeClr w14:val="tx1"/>
            </w14:solidFill>
          </w14:textFill>
        </w:rPr>
        <w:t>）专家本人与被检查单位存有其他可能影响工作公正性的情形。</w:t>
      </w:r>
    </w:p>
    <w:p w14:paraId="3274F8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32"/>
          <w:szCs w:val="32"/>
          <w14:textFill>
            <w14:solidFill>
              <w14:schemeClr w14:val="tx1"/>
            </w14:solidFill>
          </w14:textFill>
        </w:rPr>
      </w:pPr>
    </w:p>
    <w:p w14:paraId="791CCD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第四章</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调配使用专家</w:t>
      </w:r>
    </w:p>
    <w:p w14:paraId="57CBBD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eastAsia="zh-CN"/>
          <w14:textFill>
            <w14:solidFill>
              <w14:schemeClr w14:val="tx1"/>
            </w14:solidFill>
          </w14:textFill>
        </w:rPr>
        <w:t>六</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调配使用专家应遵循按需选取、利益回避、严格审批的原则，杜绝滥用和过度依赖专家。</w:t>
      </w:r>
    </w:p>
    <w:p w14:paraId="698B70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eastAsia="zh-CN"/>
          <w14:textFill>
            <w14:solidFill>
              <w14:schemeClr w14:val="tx1"/>
            </w14:solidFill>
          </w14:textFill>
        </w:rPr>
        <w:t>七</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一般情况下专家调配使用。</w:t>
      </w:r>
    </w:p>
    <w:p w14:paraId="462EC1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（一）需专家参与市应急管理局组织的决策咨询、现场检查、技术审查及其他技术支持工作时，由使用科室按照需求，在专家库中选取符合条件的专家；</w:t>
      </w:r>
    </w:p>
    <w:p w14:paraId="50BE0D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（二）使用科室与专家所在单位联系商请予以支持，或直接与专家商定有关事宜；</w:t>
      </w:r>
    </w:p>
    <w:p w14:paraId="7471DE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（三）使用科室填写《应急管理专家使用申请单》（附件2），</w:t>
      </w:r>
      <w:r>
        <w:rPr>
          <w:rFonts w:hint="eastAsia" w:ascii="仿宋" w:hAnsi="仿宋" w:eastAsia="仿宋" w:cs="仿宋"/>
          <w:b w:val="0"/>
          <w:bCs w:val="0"/>
          <w:color w:val="000000" w:themeColor="text1"/>
          <w:sz w:val="32"/>
          <w:szCs w:val="32"/>
          <w:lang w:eastAsia="zh-CN"/>
          <w14:textFill>
            <w14:solidFill>
              <w14:schemeClr w14:val="tx1"/>
            </w14:solidFill>
          </w14:textFill>
        </w:rPr>
        <w:t>经科室主要负责人审核，</w:t>
      </w:r>
      <w:r>
        <w:rPr>
          <w:rFonts w:hint="eastAsia" w:ascii="仿宋" w:hAnsi="仿宋" w:eastAsia="仿宋" w:cs="仿宋"/>
          <w:b w:val="0"/>
          <w:bCs w:val="0"/>
          <w:color w:val="000000" w:themeColor="text1"/>
          <w:sz w:val="32"/>
          <w:szCs w:val="32"/>
          <w14:textFill>
            <w14:solidFill>
              <w14:schemeClr w14:val="tx1"/>
            </w14:solidFill>
          </w14:textFill>
        </w:rPr>
        <w:t>报局分管领导审批</w:t>
      </w:r>
      <w:r>
        <w:rPr>
          <w:rFonts w:hint="eastAsia" w:ascii="仿宋" w:hAnsi="仿宋" w:eastAsia="仿宋" w:cs="仿宋"/>
          <w:b w:val="0"/>
          <w:bCs w:val="0"/>
          <w:color w:val="000000" w:themeColor="text1"/>
          <w:sz w:val="32"/>
          <w:szCs w:val="32"/>
          <w:lang w:eastAsia="zh-CN"/>
          <w14:textFill>
            <w14:solidFill>
              <w14:schemeClr w14:val="tx1"/>
            </w14:solidFill>
          </w14:textFill>
        </w:rPr>
        <w:t>，送交专家管理科室派遣</w:t>
      </w:r>
      <w:r>
        <w:rPr>
          <w:rFonts w:hint="eastAsia" w:ascii="仿宋" w:hAnsi="仿宋" w:eastAsia="仿宋" w:cs="仿宋"/>
          <w:b w:val="0"/>
          <w:bCs w:val="0"/>
          <w:color w:val="000000" w:themeColor="text1"/>
          <w:sz w:val="32"/>
          <w:szCs w:val="32"/>
          <w14:textFill>
            <w14:solidFill>
              <w14:schemeClr w14:val="tx1"/>
            </w14:solidFill>
          </w14:textFill>
        </w:rPr>
        <w:t>开展工作。</w:t>
      </w:r>
    </w:p>
    <w:p w14:paraId="759A31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eastAsia="zh-CN"/>
          <w14:textFill>
            <w14:solidFill>
              <w14:schemeClr w14:val="tx1"/>
            </w14:solidFill>
          </w14:textFill>
        </w:rPr>
        <w:t>八</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特殊情况专家调配使用。</w:t>
      </w:r>
    </w:p>
    <w:p w14:paraId="5FDA99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（一）需专家参加突发事件应急处置等特别紧急任务时，可事后补办审批手续；</w:t>
      </w:r>
    </w:p>
    <w:p w14:paraId="598FF6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（二）专家库内专家不能满足工作需要时，使用科室报局分管领导批准后，可使用</w:t>
      </w:r>
      <w:r>
        <w:rPr>
          <w:rFonts w:hint="eastAsia" w:ascii="仿宋" w:hAnsi="仿宋" w:eastAsia="仿宋" w:cs="仿宋"/>
          <w:b w:val="0"/>
          <w:bCs w:val="0"/>
          <w:color w:val="000000" w:themeColor="text1"/>
          <w:sz w:val="32"/>
          <w:szCs w:val="32"/>
          <w:lang w:eastAsia="zh-CN"/>
          <w14:textFill>
            <w14:solidFill>
              <w14:schemeClr w14:val="tx1"/>
            </w14:solidFill>
          </w14:textFill>
        </w:rPr>
        <w:t>湖北</w:t>
      </w:r>
      <w:r>
        <w:rPr>
          <w:rFonts w:hint="eastAsia" w:ascii="仿宋" w:hAnsi="仿宋" w:eastAsia="仿宋" w:cs="仿宋"/>
          <w:b w:val="0"/>
          <w:bCs w:val="0"/>
          <w:color w:val="000000" w:themeColor="text1"/>
          <w:sz w:val="32"/>
          <w:szCs w:val="32"/>
          <w14:textFill>
            <w14:solidFill>
              <w14:schemeClr w14:val="tx1"/>
            </w14:solidFill>
          </w14:textFill>
        </w:rPr>
        <w:t>省</w:t>
      </w:r>
      <w:r>
        <w:rPr>
          <w:rFonts w:hint="eastAsia" w:ascii="仿宋" w:hAnsi="仿宋" w:eastAsia="仿宋" w:cs="仿宋"/>
          <w:b w:val="0"/>
          <w:bCs w:val="0"/>
          <w:color w:val="000000" w:themeColor="text1"/>
          <w:sz w:val="32"/>
          <w:szCs w:val="32"/>
          <w:lang w:eastAsia="zh-CN"/>
          <w14:textFill>
            <w14:solidFill>
              <w14:schemeClr w14:val="tx1"/>
            </w14:solidFill>
          </w14:textFill>
        </w:rPr>
        <w:t>应急管理</w:t>
      </w:r>
      <w:r>
        <w:rPr>
          <w:rFonts w:hint="eastAsia" w:ascii="仿宋" w:hAnsi="仿宋" w:eastAsia="仿宋" w:cs="仿宋"/>
          <w:b w:val="0"/>
          <w:bCs w:val="0"/>
          <w:color w:val="000000" w:themeColor="text1"/>
          <w:sz w:val="32"/>
          <w:szCs w:val="32"/>
          <w14:textFill>
            <w14:solidFill>
              <w14:schemeClr w14:val="tx1"/>
            </w14:solidFill>
          </w14:textFill>
        </w:rPr>
        <w:t>专家和</w:t>
      </w:r>
      <w:r>
        <w:rPr>
          <w:rFonts w:hint="eastAsia" w:ascii="仿宋" w:hAnsi="仿宋" w:eastAsia="仿宋" w:cs="仿宋"/>
          <w:b w:val="0"/>
          <w:bCs w:val="0"/>
          <w:color w:val="000000" w:themeColor="text1"/>
          <w:sz w:val="32"/>
          <w:szCs w:val="32"/>
          <w:lang w:eastAsia="zh-CN"/>
          <w14:textFill>
            <w14:solidFill>
              <w14:schemeClr w14:val="tx1"/>
            </w14:solidFill>
          </w14:textFill>
        </w:rPr>
        <w:t>省内其它地市应急管理</w:t>
      </w:r>
      <w:r>
        <w:rPr>
          <w:rFonts w:hint="eastAsia" w:ascii="仿宋" w:hAnsi="仿宋" w:eastAsia="仿宋" w:cs="仿宋"/>
          <w:b w:val="0"/>
          <w:bCs w:val="0"/>
          <w:color w:val="000000" w:themeColor="text1"/>
          <w:sz w:val="32"/>
          <w:szCs w:val="32"/>
          <w14:textFill>
            <w14:solidFill>
              <w14:schemeClr w14:val="tx1"/>
            </w14:solidFill>
          </w14:textFill>
        </w:rPr>
        <w:t>专家及</w:t>
      </w:r>
      <w:r>
        <w:rPr>
          <w:rFonts w:hint="eastAsia" w:ascii="仿宋" w:hAnsi="仿宋" w:eastAsia="仿宋" w:cs="仿宋"/>
          <w:b w:val="0"/>
          <w:bCs w:val="0"/>
          <w:color w:val="000000" w:themeColor="text1"/>
          <w:sz w:val="32"/>
          <w:szCs w:val="32"/>
          <w:lang w:eastAsia="zh-CN"/>
          <w14:textFill>
            <w14:solidFill>
              <w14:schemeClr w14:val="tx1"/>
            </w14:solidFill>
          </w14:textFill>
        </w:rPr>
        <w:t>襄阳市直</w:t>
      </w:r>
      <w:r>
        <w:rPr>
          <w:rFonts w:hint="eastAsia" w:ascii="仿宋" w:hAnsi="仿宋" w:eastAsia="仿宋" w:cs="仿宋"/>
          <w:b w:val="0"/>
          <w:bCs w:val="0"/>
          <w:color w:val="000000" w:themeColor="text1"/>
          <w:sz w:val="32"/>
          <w:szCs w:val="32"/>
          <w14:textFill>
            <w14:solidFill>
              <w14:schemeClr w14:val="tx1"/>
            </w14:solidFill>
          </w14:textFill>
        </w:rPr>
        <w:t>有关部门专家库的专家。</w:t>
      </w:r>
    </w:p>
    <w:p w14:paraId="3B1376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eastAsia="zh-CN"/>
          <w14:textFill>
            <w14:solidFill>
              <w14:schemeClr w14:val="tx1"/>
            </w14:solidFill>
          </w14:textFill>
        </w:rPr>
        <w:t>十九</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使用科室在带领专家开展应急救援、地下矿山安全检查等风险较高的工作之前，应请专家在《应急管理任务单》（附件3）签字，并由使用科室妥善保管。</w:t>
      </w:r>
    </w:p>
    <w:p w14:paraId="1CBD58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第二十条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专家使用科室</w:t>
      </w:r>
      <w:r>
        <w:rPr>
          <w:rFonts w:hint="eastAsia" w:ascii="仿宋" w:hAnsi="仿宋" w:eastAsia="仿宋" w:cs="仿宋"/>
          <w:b w:val="0"/>
          <w:bCs w:val="0"/>
          <w:color w:val="000000" w:themeColor="text1"/>
          <w:sz w:val="32"/>
          <w:szCs w:val="32"/>
          <w14:textFill>
            <w14:solidFill>
              <w14:schemeClr w14:val="tx1"/>
            </w14:solidFill>
          </w14:textFill>
        </w:rPr>
        <w:t>和任务对象应为专家开展工作任务提供必要的工作生活条件、安全防护装备和其他安全保障措施，做好支持和配合工作。专家开展专家工作时与任务委派单位不存在劳动关系。专家应根据实际情况自行购买个人意外伤害保险。</w:t>
      </w:r>
    </w:p>
    <w:p w14:paraId="361A96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第二十</w:t>
      </w:r>
      <w:r>
        <w:rPr>
          <w:rFonts w:hint="eastAsia" w:ascii="仿宋" w:hAnsi="仿宋" w:eastAsia="仿宋" w:cs="仿宋"/>
          <w:b/>
          <w:bCs/>
          <w:color w:val="000000" w:themeColor="text1"/>
          <w:sz w:val="32"/>
          <w:szCs w:val="32"/>
          <w:lang w:eastAsia="zh-CN"/>
          <w14:textFill>
            <w14:solidFill>
              <w14:schemeClr w14:val="tx1"/>
            </w14:solidFill>
          </w14:textFill>
        </w:rPr>
        <w:t>一</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专家经费。</w:t>
      </w:r>
    </w:p>
    <w:p w14:paraId="1EF64F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（一）市应急管理局设立专家使用专项经费，纳入年度预算</w:t>
      </w:r>
      <w:r>
        <w:rPr>
          <w:rFonts w:hint="eastAsia" w:ascii="仿宋" w:hAnsi="仿宋" w:eastAsia="仿宋" w:cs="仿宋"/>
          <w:b w:val="0"/>
          <w:bCs w:val="0"/>
          <w:color w:val="000000" w:themeColor="text1"/>
          <w:sz w:val="32"/>
          <w:szCs w:val="32"/>
          <w:lang w:eastAsia="zh-CN"/>
          <w14:textFill>
            <w14:solidFill>
              <w14:schemeClr w14:val="tx1"/>
            </w14:solidFill>
          </w14:textFill>
        </w:rPr>
        <w:t>，保障专家工作有序开展</w:t>
      </w:r>
      <w:r>
        <w:rPr>
          <w:rFonts w:hint="eastAsia" w:ascii="仿宋" w:hAnsi="仿宋" w:eastAsia="仿宋" w:cs="仿宋"/>
          <w:b w:val="0"/>
          <w:bCs w:val="0"/>
          <w:color w:val="000000" w:themeColor="text1"/>
          <w:sz w:val="32"/>
          <w:szCs w:val="32"/>
          <w14:textFill>
            <w14:solidFill>
              <w14:schemeClr w14:val="tx1"/>
            </w14:solidFill>
          </w14:textFill>
        </w:rPr>
        <w:t>；</w:t>
      </w:r>
    </w:p>
    <w:p w14:paraId="36A121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val="0"/>
          <w:bCs w:val="0"/>
          <w:color w:val="000000" w:themeColor="text1"/>
          <w:sz w:val="32"/>
          <w:szCs w:val="32"/>
          <w:lang w:eastAsia="zh-CN"/>
          <w14:textFill>
            <w14:solidFill>
              <w14:schemeClr w14:val="tx1"/>
            </w14:solidFill>
          </w14:textFill>
        </w:rPr>
        <w:t>二</w:t>
      </w:r>
      <w:r>
        <w:rPr>
          <w:rFonts w:hint="eastAsia" w:ascii="仿宋" w:hAnsi="仿宋" w:eastAsia="仿宋" w:cs="仿宋"/>
          <w:b w:val="0"/>
          <w:bCs w:val="0"/>
          <w:color w:val="000000" w:themeColor="text1"/>
          <w:sz w:val="32"/>
          <w:szCs w:val="32"/>
          <w14:textFill>
            <w14:solidFill>
              <w14:schemeClr w14:val="tx1"/>
            </w14:solidFill>
          </w14:textFill>
        </w:rPr>
        <w:t>）聘请专家开展工作调研、</w:t>
      </w:r>
      <w:r>
        <w:rPr>
          <w:rFonts w:hint="eastAsia" w:ascii="仿宋" w:hAnsi="仿宋" w:eastAsia="仿宋" w:cs="仿宋"/>
          <w:b w:val="0"/>
          <w:bCs w:val="0"/>
          <w:color w:val="000000" w:themeColor="text1"/>
          <w:sz w:val="32"/>
          <w:szCs w:val="32"/>
          <w:lang w:eastAsia="zh-CN"/>
          <w14:textFill>
            <w14:solidFill>
              <w14:schemeClr w14:val="tx1"/>
            </w14:solidFill>
          </w14:textFill>
        </w:rPr>
        <w:t>授课、评审、</w:t>
      </w:r>
      <w:r>
        <w:rPr>
          <w:rFonts w:hint="eastAsia" w:ascii="仿宋" w:hAnsi="仿宋" w:eastAsia="仿宋" w:cs="仿宋"/>
          <w:b w:val="0"/>
          <w:bCs w:val="0"/>
          <w:color w:val="000000" w:themeColor="text1"/>
          <w:sz w:val="32"/>
          <w:szCs w:val="32"/>
          <w14:textFill>
            <w14:solidFill>
              <w14:schemeClr w14:val="tx1"/>
            </w14:solidFill>
          </w14:textFill>
        </w:rPr>
        <w:t>安全检查、应急救援、事故调查等其他活动，专家劳务费执行标准：省级专家1000元/人·天，市级专家500元/人·天。专家费按自然（日历）天数计算。报销附件应提供专家使用申请单、专家</w:t>
      </w:r>
      <w:r>
        <w:rPr>
          <w:rFonts w:hint="eastAsia" w:ascii="仿宋" w:hAnsi="仿宋" w:eastAsia="仿宋" w:cs="仿宋"/>
          <w:b w:val="0"/>
          <w:bCs w:val="0"/>
          <w:color w:val="000000" w:themeColor="text1"/>
          <w:sz w:val="32"/>
          <w:szCs w:val="32"/>
          <w:lang w:eastAsia="zh-CN"/>
          <w14:textFill>
            <w14:solidFill>
              <w14:schemeClr w14:val="tx1"/>
            </w14:solidFill>
          </w14:textFill>
        </w:rPr>
        <w:t>使用经费报销表</w:t>
      </w:r>
      <w:r>
        <w:rPr>
          <w:rFonts w:hint="eastAsia" w:ascii="仿宋" w:hAnsi="仿宋" w:eastAsia="仿宋" w:cs="仿宋"/>
          <w:b w:val="0"/>
          <w:bCs w:val="0"/>
          <w:color w:val="000000" w:themeColor="text1"/>
          <w:sz w:val="32"/>
          <w:szCs w:val="32"/>
          <w14:textFill>
            <w14:solidFill>
              <w14:schemeClr w14:val="tx1"/>
            </w14:solidFill>
          </w14:textFill>
        </w:rPr>
        <w:t>、发票等凭证。专家的城市间交通费、住宿费随机关出差人员按照《</w:t>
      </w:r>
      <w:r>
        <w:rPr>
          <w:rFonts w:hint="eastAsia" w:ascii="仿宋" w:hAnsi="仿宋" w:eastAsia="仿宋" w:cs="仿宋"/>
          <w:b w:val="0"/>
          <w:bCs w:val="0"/>
          <w:color w:val="000000" w:themeColor="text1"/>
          <w:sz w:val="32"/>
          <w:szCs w:val="32"/>
          <w:lang w:eastAsia="zh-CN"/>
          <w14:textFill>
            <w14:solidFill>
              <w14:schemeClr w14:val="tx1"/>
            </w14:solidFill>
          </w14:textFill>
        </w:rPr>
        <w:t>襄阳</w:t>
      </w:r>
      <w:r>
        <w:rPr>
          <w:rFonts w:hint="eastAsia" w:ascii="仿宋" w:hAnsi="仿宋" w:eastAsia="仿宋" w:cs="仿宋"/>
          <w:b w:val="0"/>
          <w:bCs w:val="0"/>
          <w:color w:val="000000" w:themeColor="text1"/>
          <w:sz w:val="32"/>
          <w:szCs w:val="32"/>
          <w14:textFill>
            <w14:solidFill>
              <w14:schemeClr w14:val="tx1"/>
            </w14:solidFill>
          </w14:textFill>
        </w:rPr>
        <w:t>市级党政机关差旅费管理办法》报销。</w:t>
      </w:r>
    </w:p>
    <w:p w14:paraId="1F4CCA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p>
    <w:p w14:paraId="240EFB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第五章 专家共享使用</w:t>
      </w:r>
    </w:p>
    <w:p w14:paraId="5B0F72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第二十</w:t>
      </w:r>
      <w:r>
        <w:rPr>
          <w:rFonts w:hint="eastAsia" w:ascii="仿宋" w:hAnsi="仿宋" w:eastAsia="仿宋" w:cs="仿宋"/>
          <w:b/>
          <w:bCs/>
          <w:color w:val="000000" w:themeColor="text1"/>
          <w:sz w:val="32"/>
          <w:szCs w:val="32"/>
          <w:lang w:eastAsia="zh-CN"/>
          <w14:textFill>
            <w14:solidFill>
              <w14:schemeClr w14:val="tx1"/>
            </w14:solidFill>
          </w14:textFill>
        </w:rPr>
        <w:t>二</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专家基本信息（包括姓名、单位、技术职称、专业特长等）在市应急管理局网站公开，各级应急管理部门及企业、公众均可查询。</w:t>
      </w:r>
    </w:p>
    <w:p w14:paraId="703C3B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第二十</w:t>
      </w:r>
      <w:r>
        <w:rPr>
          <w:rFonts w:hint="eastAsia" w:ascii="仿宋" w:hAnsi="仿宋" w:eastAsia="仿宋" w:cs="仿宋"/>
          <w:b/>
          <w:bCs/>
          <w:color w:val="000000" w:themeColor="text1"/>
          <w:sz w:val="32"/>
          <w:szCs w:val="32"/>
          <w:lang w:eastAsia="zh-CN"/>
          <w14:textFill>
            <w14:solidFill>
              <w14:schemeClr w14:val="tx1"/>
            </w14:solidFill>
          </w14:textFill>
        </w:rPr>
        <w:t>三</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其他单位使用市应急管理专家时，在专家库中自行查询、选取、商请、联络，专家差旅费、劳动报酬等按专家使用单位规定执行。</w:t>
      </w:r>
    </w:p>
    <w:p w14:paraId="3E69CE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其他单位对专家使用期间的廉洁行为负有监督管理职责。</w:t>
      </w:r>
    </w:p>
    <w:p w14:paraId="4BDAA4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32"/>
          <w:szCs w:val="32"/>
          <w14:textFill>
            <w14:solidFill>
              <w14:schemeClr w14:val="tx1"/>
            </w14:solidFill>
          </w14:textFill>
        </w:rPr>
      </w:pPr>
    </w:p>
    <w:p w14:paraId="4F3DAD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第六章 考核与管理</w:t>
      </w:r>
    </w:p>
    <w:p w14:paraId="2BDEF2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第二十</w:t>
      </w:r>
      <w:r>
        <w:rPr>
          <w:rFonts w:hint="eastAsia" w:ascii="仿宋" w:hAnsi="仿宋" w:eastAsia="仿宋" w:cs="仿宋"/>
          <w:b/>
          <w:bCs/>
          <w:color w:val="000000" w:themeColor="text1"/>
          <w:sz w:val="32"/>
          <w:szCs w:val="32"/>
          <w:lang w:eastAsia="zh-CN"/>
          <w14:textFill>
            <w14:solidFill>
              <w14:schemeClr w14:val="tx1"/>
            </w14:solidFill>
          </w14:textFill>
        </w:rPr>
        <w:t>四</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市应急管理局</w:t>
      </w:r>
      <w:bookmarkStart w:id="0" w:name="OLE_LINK6"/>
      <w:r>
        <w:rPr>
          <w:rFonts w:hint="eastAsia" w:ascii="仿宋" w:hAnsi="仿宋" w:eastAsia="仿宋" w:cs="仿宋"/>
          <w:b w:val="0"/>
          <w:bCs w:val="0"/>
          <w:color w:val="000000" w:themeColor="text1"/>
          <w:sz w:val="32"/>
          <w:szCs w:val="32"/>
          <w14:textFill>
            <w14:solidFill>
              <w14:schemeClr w14:val="tx1"/>
            </w14:solidFill>
          </w14:textFill>
        </w:rPr>
        <w:t>对专家履职情况进行考核评价</w:t>
      </w:r>
      <w:bookmarkEnd w:id="0"/>
      <w:r>
        <w:rPr>
          <w:rFonts w:hint="eastAsia" w:ascii="仿宋" w:hAnsi="仿宋" w:eastAsia="仿宋" w:cs="仿宋"/>
          <w:b w:val="0"/>
          <w:bCs w:val="0"/>
          <w:color w:val="000000" w:themeColor="text1"/>
          <w:sz w:val="32"/>
          <w:szCs w:val="32"/>
          <w14:textFill>
            <w14:solidFill>
              <w14:schemeClr w14:val="tx1"/>
            </w14:solidFill>
          </w14:textFill>
        </w:rPr>
        <w:t>，业务科室负责专家日常考核，</w:t>
      </w:r>
      <w:r>
        <w:rPr>
          <w:rFonts w:hint="eastAsia" w:ascii="仿宋" w:hAnsi="仿宋" w:eastAsia="仿宋" w:cs="仿宋"/>
          <w:b w:val="0"/>
          <w:bCs w:val="0"/>
          <w:color w:val="000000" w:themeColor="text1"/>
          <w:sz w:val="32"/>
          <w:szCs w:val="32"/>
          <w:lang w:eastAsia="zh-CN"/>
          <w14:textFill>
            <w14:solidFill>
              <w14:schemeClr w14:val="tx1"/>
            </w14:solidFill>
          </w14:textFill>
        </w:rPr>
        <w:t>局规划财务科</w:t>
      </w:r>
      <w:r>
        <w:rPr>
          <w:rFonts w:hint="eastAsia" w:ascii="仿宋" w:hAnsi="仿宋" w:eastAsia="仿宋" w:cs="仿宋"/>
          <w:b w:val="0"/>
          <w:bCs w:val="0"/>
          <w:color w:val="000000" w:themeColor="text1"/>
          <w:sz w:val="32"/>
          <w:szCs w:val="32"/>
          <w14:textFill>
            <w14:solidFill>
              <w14:schemeClr w14:val="tx1"/>
            </w14:solidFill>
          </w14:textFill>
        </w:rPr>
        <w:t>负责年度考评。</w:t>
      </w:r>
    </w:p>
    <w:p w14:paraId="0E187B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（一）日常考核。专家单次参与服务情况纳入日常考核。业务科室根据专家的工作作风、专业能力、廉洁自律等方面情况，按照《应急管理专家服务质量评价表》（附件</w:t>
      </w:r>
      <w:r>
        <w:rPr>
          <w:rFonts w:hint="eastAsia" w:ascii="仿宋" w:hAnsi="仿宋" w:eastAsia="仿宋" w:cs="仿宋"/>
          <w:b w:val="0"/>
          <w:bCs w:val="0"/>
          <w:color w:val="000000" w:themeColor="text1"/>
          <w:sz w:val="32"/>
          <w:szCs w:val="32"/>
          <w:lang w:val="en-US" w:eastAsia="zh-CN"/>
          <w14:textFill>
            <w14:solidFill>
              <w14:schemeClr w14:val="tx1"/>
            </w14:solidFill>
          </w14:textFill>
        </w:rPr>
        <w:t>5</w:t>
      </w:r>
      <w:r>
        <w:rPr>
          <w:rFonts w:hint="eastAsia" w:ascii="仿宋" w:hAnsi="仿宋" w:eastAsia="仿宋" w:cs="仿宋"/>
          <w:b w:val="0"/>
          <w:bCs w:val="0"/>
          <w:color w:val="000000" w:themeColor="text1"/>
          <w:sz w:val="32"/>
          <w:szCs w:val="32"/>
          <w14:textFill>
            <w14:solidFill>
              <w14:schemeClr w14:val="tx1"/>
            </w14:solidFill>
          </w14:textFill>
        </w:rPr>
        <w:t>），对专家服务情况进行日常考核评价。</w:t>
      </w:r>
    </w:p>
    <w:p w14:paraId="472690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（二）年度考评。</w:t>
      </w:r>
      <w:r>
        <w:rPr>
          <w:rFonts w:hint="eastAsia" w:ascii="仿宋" w:hAnsi="仿宋" w:eastAsia="仿宋" w:cs="仿宋"/>
          <w:b w:val="0"/>
          <w:bCs w:val="0"/>
          <w:color w:val="000000" w:themeColor="text1"/>
          <w:sz w:val="32"/>
          <w:szCs w:val="32"/>
          <w:lang w:eastAsia="zh-CN"/>
          <w14:textFill>
            <w14:solidFill>
              <w14:schemeClr w14:val="tx1"/>
            </w14:solidFill>
          </w14:textFill>
        </w:rPr>
        <w:t>专家管理科室</w:t>
      </w:r>
      <w:r>
        <w:rPr>
          <w:rFonts w:hint="eastAsia" w:ascii="仿宋" w:hAnsi="仿宋" w:eastAsia="仿宋" w:cs="仿宋"/>
          <w:b w:val="0"/>
          <w:bCs w:val="0"/>
          <w:color w:val="000000" w:themeColor="text1"/>
          <w:sz w:val="32"/>
          <w:szCs w:val="32"/>
          <w14:textFill>
            <w14:solidFill>
              <w14:schemeClr w14:val="tx1"/>
            </w14:solidFill>
          </w14:textFill>
        </w:rPr>
        <w:t>通过使用科室评价专家服务质量和多种方式实时掌握专家的使用情况，征集使用科室的反馈意见、县市区应急管理部门反映的情况、企业反映的情况等信息，对专家组织考核评估，</w:t>
      </w:r>
      <w:r>
        <w:rPr>
          <w:rFonts w:hint="eastAsia" w:ascii="仿宋" w:hAnsi="仿宋" w:eastAsia="仿宋" w:cs="仿宋"/>
          <w:b w:val="0"/>
          <w:bCs w:val="0"/>
          <w:color w:val="000000" w:themeColor="text1"/>
          <w:sz w:val="32"/>
          <w:szCs w:val="32"/>
          <w:lang w:eastAsia="zh-CN"/>
          <w14:textFill>
            <w14:solidFill>
              <w14:schemeClr w14:val="tx1"/>
            </w14:solidFill>
          </w14:textFill>
        </w:rPr>
        <w:t>表现优秀的专家进行通报表彰，并在市应急管理局门户网站予以公告</w:t>
      </w:r>
      <w:r>
        <w:rPr>
          <w:rFonts w:hint="eastAsia" w:ascii="仿宋" w:hAnsi="仿宋" w:eastAsia="仿宋" w:cs="仿宋"/>
          <w:b w:val="0"/>
          <w:bCs w:val="0"/>
          <w:color w:val="000000" w:themeColor="text1"/>
          <w:sz w:val="32"/>
          <w:szCs w:val="32"/>
          <w14:textFill>
            <w14:solidFill>
              <w14:schemeClr w14:val="tx1"/>
            </w14:solidFill>
          </w14:textFill>
        </w:rPr>
        <w:t>。</w:t>
      </w:r>
    </w:p>
    <w:p w14:paraId="739BEE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全年未指派工作任务的专家不参与年度考评。</w:t>
      </w:r>
    </w:p>
    <w:p w14:paraId="1FBD20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第二十</w:t>
      </w:r>
      <w:r>
        <w:rPr>
          <w:rFonts w:hint="eastAsia" w:ascii="仿宋" w:hAnsi="仿宋" w:eastAsia="仿宋" w:cs="仿宋"/>
          <w:b/>
          <w:bCs/>
          <w:color w:val="000000" w:themeColor="text1"/>
          <w:sz w:val="32"/>
          <w:szCs w:val="32"/>
          <w:lang w:eastAsia="zh-CN"/>
          <w14:textFill>
            <w14:solidFill>
              <w14:schemeClr w14:val="tx1"/>
            </w14:solidFill>
          </w14:textFill>
        </w:rPr>
        <w:t>五</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市应急管理局使用专家时，使用科室要加强对使用专家的管理监督。工作前，向专家告知应遵守的相关工作纪律、廉洁纪律等内容。</w:t>
      </w:r>
    </w:p>
    <w:p w14:paraId="55D847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第二十</w:t>
      </w:r>
      <w:r>
        <w:rPr>
          <w:rFonts w:hint="eastAsia" w:ascii="仿宋" w:hAnsi="仿宋" w:eastAsia="仿宋" w:cs="仿宋"/>
          <w:b/>
          <w:bCs/>
          <w:color w:val="000000" w:themeColor="text1"/>
          <w:sz w:val="32"/>
          <w:szCs w:val="32"/>
          <w:lang w:eastAsia="zh-CN"/>
          <w14:textFill>
            <w14:solidFill>
              <w14:schemeClr w14:val="tx1"/>
            </w14:solidFill>
          </w14:textFill>
        </w:rPr>
        <w:t>六</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任务对象单位、使用单位发现专家有违法违规违纪行为的，应当及时向</w:t>
      </w:r>
      <w:r>
        <w:rPr>
          <w:rFonts w:hint="eastAsia" w:ascii="仿宋" w:hAnsi="仿宋" w:eastAsia="仿宋" w:cs="仿宋"/>
          <w:b w:val="0"/>
          <w:bCs w:val="0"/>
          <w:color w:val="000000" w:themeColor="text1"/>
          <w:sz w:val="32"/>
          <w:szCs w:val="32"/>
          <w:lang w:eastAsia="zh-CN"/>
          <w14:textFill>
            <w14:solidFill>
              <w14:schemeClr w14:val="tx1"/>
            </w14:solidFill>
          </w14:textFill>
        </w:rPr>
        <w:t>市</w:t>
      </w:r>
      <w:r>
        <w:rPr>
          <w:rFonts w:hint="eastAsia" w:ascii="仿宋" w:hAnsi="仿宋" w:eastAsia="仿宋" w:cs="仿宋"/>
          <w:b w:val="0"/>
          <w:bCs w:val="0"/>
          <w:color w:val="000000" w:themeColor="text1"/>
          <w:sz w:val="32"/>
          <w:szCs w:val="32"/>
          <w14:textFill>
            <w14:solidFill>
              <w14:schemeClr w14:val="tx1"/>
            </w14:solidFill>
          </w14:textFill>
        </w:rPr>
        <w:t>应急管理</w:t>
      </w:r>
      <w:r>
        <w:rPr>
          <w:rFonts w:hint="eastAsia" w:ascii="仿宋" w:hAnsi="仿宋" w:eastAsia="仿宋" w:cs="仿宋"/>
          <w:b w:val="0"/>
          <w:bCs w:val="0"/>
          <w:color w:val="000000" w:themeColor="text1"/>
          <w:sz w:val="32"/>
          <w:szCs w:val="32"/>
          <w:lang w:eastAsia="zh-CN"/>
          <w14:textFill>
            <w14:solidFill>
              <w14:schemeClr w14:val="tx1"/>
            </w14:solidFill>
          </w14:textFill>
        </w:rPr>
        <w:t>局</w:t>
      </w:r>
      <w:r>
        <w:rPr>
          <w:rFonts w:hint="eastAsia" w:ascii="仿宋" w:hAnsi="仿宋" w:eastAsia="仿宋" w:cs="仿宋"/>
          <w:b w:val="0"/>
          <w:bCs w:val="0"/>
          <w:color w:val="000000" w:themeColor="text1"/>
          <w:sz w:val="32"/>
          <w:szCs w:val="32"/>
          <w14:textFill>
            <w14:solidFill>
              <w14:schemeClr w14:val="tx1"/>
            </w14:solidFill>
          </w14:textFill>
        </w:rPr>
        <w:t>举报（举报电话：</w:t>
      </w:r>
      <w:r>
        <w:rPr>
          <w:rFonts w:hint="eastAsia" w:ascii="仿宋" w:hAnsi="仿宋" w:eastAsia="仿宋" w:cs="仿宋"/>
          <w:b w:val="0"/>
          <w:bCs w:val="0"/>
          <w:color w:val="000000" w:themeColor="text1"/>
          <w:sz w:val="32"/>
          <w:szCs w:val="32"/>
          <w:lang w:val="en-US" w:eastAsia="zh-CN"/>
          <w14:textFill>
            <w14:solidFill>
              <w14:schemeClr w14:val="tx1"/>
            </w14:solidFill>
          </w14:textFill>
        </w:rPr>
        <w:t>0710—3469836</w:t>
      </w:r>
      <w:r>
        <w:rPr>
          <w:rFonts w:hint="eastAsia" w:ascii="仿宋" w:hAnsi="仿宋" w:eastAsia="仿宋" w:cs="仿宋"/>
          <w:b w:val="0"/>
          <w:bCs w:val="0"/>
          <w:color w:val="000000" w:themeColor="text1"/>
          <w:sz w:val="32"/>
          <w:szCs w:val="32"/>
          <w14:textFill>
            <w14:solidFill>
              <w14:schemeClr w14:val="tx1"/>
            </w14:solidFill>
          </w14:textFill>
        </w:rPr>
        <w:t>）。专家收受任务对象单位礼品、礼金或者获取其他不正当利益，构成犯罪的，依法追究刑事责任。</w:t>
      </w:r>
    </w:p>
    <w:p w14:paraId="3C8523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第二十</w:t>
      </w:r>
      <w:r>
        <w:rPr>
          <w:rFonts w:hint="eastAsia" w:ascii="仿宋" w:hAnsi="仿宋" w:eastAsia="仿宋" w:cs="仿宋"/>
          <w:b/>
          <w:bCs/>
          <w:color w:val="000000" w:themeColor="text1"/>
          <w:sz w:val="32"/>
          <w:szCs w:val="32"/>
          <w:lang w:eastAsia="zh-CN"/>
          <w14:textFill>
            <w14:solidFill>
              <w14:schemeClr w14:val="tx1"/>
            </w14:solidFill>
          </w14:textFill>
        </w:rPr>
        <w:t>七</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专家有下列情形的，列入不良行为记录：</w:t>
      </w:r>
    </w:p>
    <w:p w14:paraId="4D5081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（一）无正当理由，1年内3次不能接受市应急管理局委派任务；</w:t>
      </w:r>
    </w:p>
    <w:p w14:paraId="54F7F7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（二）利用专家身份为本单位或他人联系业务，推销产品；</w:t>
      </w:r>
    </w:p>
    <w:p w14:paraId="5A7BB2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（三）违反国家法律法规或擅自以专家名义从事不正当活动的；</w:t>
      </w:r>
    </w:p>
    <w:p w14:paraId="2BB83C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（四）违反职业道德和操守，在执行任务中降低标准、弄虚作假、谋取私利，作出有失公正或错误结论的；</w:t>
      </w:r>
    </w:p>
    <w:p w14:paraId="7C2D16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（五）故意打压、刁难被调查、检查、审查、核查单位以及技术服务机构或利益输送；</w:t>
      </w:r>
    </w:p>
    <w:p w14:paraId="23B576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（六）收受被调查、检查、审查、核查单位和技术服务机构财物；</w:t>
      </w:r>
    </w:p>
    <w:p w14:paraId="2F1269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（七）应当知道与任务对象存在利害关系未主动申请回避。</w:t>
      </w:r>
    </w:p>
    <w:p w14:paraId="761908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32"/>
          <w:szCs w:val="32"/>
          <w14:textFill>
            <w14:solidFill>
              <w14:schemeClr w14:val="tx1"/>
            </w14:solidFill>
          </w14:textFill>
        </w:rPr>
      </w:pPr>
    </w:p>
    <w:p w14:paraId="561F90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第七章 附则</w:t>
      </w:r>
    </w:p>
    <w:p w14:paraId="14E68B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eastAsia="zh-CN"/>
          <w14:textFill>
            <w14:solidFill>
              <w14:schemeClr w14:val="tx1"/>
            </w14:solidFill>
          </w14:textFill>
        </w:rPr>
        <w:t>二十八</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本办法由市应急管理局负责解释。</w:t>
      </w:r>
    </w:p>
    <w:p w14:paraId="0FBE62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i w:val="0"/>
          <w:iCs w:val="0"/>
          <w:color w:val="000000" w:themeColor="text1"/>
          <w:sz w:val="32"/>
          <w:szCs w:val="32"/>
          <w14:textFill>
            <w14:solidFill>
              <w14:schemeClr w14:val="tx1"/>
            </w14:solidFill>
          </w14:textFill>
        </w:rPr>
        <w:t>第</w:t>
      </w:r>
      <w:r>
        <w:rPr>
          <w:rFonts w:hint="eastAsia" w:ascii="仿宋" w:hAnsi="仿宋" w:eastAsia="仿宋" w:cs="仿宋"/>
          <w:b/>
          <w:bCs/>
          <w:i w:val="0"/>
          <w:iCs w:val="0"/>
          <w:color w:val="000000" w:themeColor="text1"/>
          <w:sz w:val="32"/>
          <w:szCs w:val="32"/>
          <w:lang w:eastAsia="zh-CN"/>
          <w14:textFill>
            <w14:solidFill>
              <w14:schemeClr w14:val="tx1"/>
            </w14:solidFill>
          </w14:textFill>
        </w:rPr>
        <w:t>二十九</w:t>
      </w:r>
      <w:r>
        <w:rPr>
          <w:rFonts w:hint="eastAsia" w:ascii="仿宋" w:hAnsi="仿宋" w:eastAsia="仿宋" w:cs="仿宋"/>
          <w:b/>
          <w:bCs/>
          <w:i w:val="0"/>
          <w:iCs w:val="0"/>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本办法自印发之日起施行。202</w:t>
      </w:r>
      <w:r>
        <w:rPr>
          <w:rFonts w:hint="eastAsia" w:ascii="仿宋" w:hAnsi="仿宋" w:eastAsia="仿宋" w:cs="仿宋"/>
          <w:b w:val="0"/>
          <w:bCs w:val="0"/>
          <w:color w:val="000000" w:themeColor="text1"/>
          <w:sz w:val="32"/>
          <w:szCs w:val="32"/>
          <w:lang w:val="en-US" w:eastAsia="zh-CN"/>
          <w14:textFill>
            <w14:solidFill>
              <w14:schemeClr w14:val="tx1"/>
            </w14:solidFill>
          </w14:textFill>
        </w:rPr>
        <w:t>2</w:t>
      </w:r>
      <w:r>
        <w:rPr>
          <w:rFonts w:hint="eastAsia" w:ascii="仿宋" w:hAnsi="仿宋" w:eastAsia="仿宋" w:cs="仿宋"/>
          <w:b w:val="0"/>
          <w:bCs w:val="0"/>
          <w:color w:val="000000" w:themeColor="text1"/>
          <w:sz w:val="32"/>
          <w:szCs w:val="32"/>
          <w14:textFill>
            <w14:solidFill>
              <w14:schemeClr w14:val="tx1"/>
            </w14:solidFill>
          </w14:textFill>
        </w:rPr>
        <w:t>年印发的</w:t>
      </w:r>
      <w:bookmarkStart w:id="1" w:name="OLE_LINK1"/>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襄阳</w:t>
      </w:r>
      <w:r>
        <w:rPr>
          <w:rFonts w:hint="eastAsia" w:ascii="仿宋" w:hAnsi="仿宋" w:eastAsia="仿宋" w:cs="仿宋"/>
          <w:b w:val="0"/>
          <w:bCs w:val="0"/>
          <w:color w:val="000000" w:themeColor="text1"/>
          <w:sz w:val="32"/>
          <w:szCs w:val="32"/>
          <w14:textFill>
            <w14:solidFill>
              <w14:schemeClr w14:val="tx1"/>
            </w14:solidFill>
          </w14:textFill>
        </w:rPr>
        <w:t>市</w:t>
      </w:r>
      <w:r>
        <w:rPr>
          <w:rFonts w:hint="eastAsia" w:ascii="仿宋" w:hAnsi="仿宋" w:eastAsia="仿宋" w:cs="仿宋"/>
          <w:b w:val="0"/>
          <w:bCs w:val="0"/>
          <w:color w:val="000000" w:themeColor="text1"/>
          <w:sz w:val="32"/>
          <w:szCs w:val="32"/>
          <w:lang w:eastAsia="zh-CN"/>
          <w14:textFill>
            <w14:solidFill>
              <w14:schemeClr w14:val="tx1"/>
            </w14:solidFill>
          </w14:textFill>
        </w:rPr>
        <w:t>应急管理</w:t>
      </w:r>
      <w:r>
        <w:rPr>
          <w:rFonts w:hint="eastAsia" w:ascii="仿宋" w:hAnsi="仿宋" w:eastAsia="仿宋" w:cs="仿宋"/>
          <w:b w:val="0"/>
          <w:bCs w:val="0"/>
          <w:color w:val="000000" w:themeColor="text1"/>
          <w:sz w:val="32"/>
          <w:szCs w:val="32"/>
          <w14:textFill>
            <w14:solidFill>
              <w14:schemeClr w14:val="tx1"/>
            </w14:solidFill>
          </w14:textFill>
        </w:rPr>
        <w:t>专家管理办法》（</w:t>
      </w:r>
      <w:r>
        <w:rPr>
          <w:rFonts w:hint="eastAsia" w:ascii="仿宋" w:hAnsi="仿宋" w:eastAsia="仿宋" w:cs="仿宋"/>
          <w:b w:val="0"/>
          <w:bCs w:val="0"/>
          <w:color w:val="000000" w:themeColor="text1"/>
          <w:sz w:val="32"/>
          <w:szCs w:val="32"/>
          <w:lang w:eastAsia="zh-CN"/>
          <w14:textFill>
            <w14:solidFill>
              <w14:schemeClr w14:val="tx1"/>
            </w14:solidFill>
          </w14:textFill>
        </w:rPr>
        <w:t>襄</w:t>
      </w:r>
      <w:r>
        <w:rPr>
          <w:rFonts w:hint="eastAsia" w:ascii="仿宋" w:hAnsi="仿宋" w:eastAsia="仿宋" w:cs="仿宋"/>
          <w:b w:val="0"/>
          <w:bCs w:val="0"/>
          <w:color w:val="000000" w:themeColor="text1"/>
          <w:sz w:val="32"/>
          <w:szCs w:val="32"/>
          <w14:textFill>
            <w14:solidFill>
              <w14:schemeClr w14:val="tx1"/>
            </w14:solidFill>
          </w14:textFill>
        </w:rPr>
        <w:t>应急发〔202</w:t>
      </w:r>
      <w:r>
        <w:rPr>
          <w:rFonts w:hint="eastAsia" w:ascii="仿宋" w:hAnsi="仿宋" w:eastAsia="仿宋" w:cs="仿宋"/>
          <w:b w:val="0"/>
          <w:bCs w:val="0"/>
          <w:color w:val="000000" w:themeColor="text1"/>
          <w:sz w:val="32"/>
          <w:szCs w:val="32"/>
          <w:lang w:val="en-US" w:eastAsia="zh-CN"/>
          <w14:textFill>
            <w14:solidFill>
              <w14:schemeClr w14:val="tx1"/>
            </w14:solidFill>
          </w14:textFill>
        </w:rPr>
        <w:t>2</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24</w:t>
      </w:r>
      <w:r>
        <w:rPr>
          <w:rFonts w:hint="eastAsia" w:ascii="仿宋" w:hAnsi="仿宋" w:eastAsia="仿宋" w:cs="仿宋"/>
          <w:b w:val="0"/>
          <w:bCs w:val="0"/>
          <w:color w:val="000000" w:themeColor="text1"/>
          <w:sz w:val="32"/>
          <w:szCs w:val="32"/>
          <w14:textFill>
            <w14:solidFill>
              <w14:schemeClr w14:val="tx1"/>
            </w14:solidFill>
          </w14:textFill>
        </w:rPr>
        <w:t>号）</w:t>
      </w:r>
      <w:bookmarkEnd w:id="1"/>
      <w:r>
        <w:rPr>
          <w:rFonts w:hint="eastAsia" w:ascii="仿宋" w:hAnsi="仿宋" w:eastAsia="仿宋" w:cs="仿宋"/>
          <w:b w:val="0"/>
          <w:bCs w:val="0"/>
          <w:color w:val="000000" w:themeColor="text1"/>
          <w:sz w:val="32"/>
          <w:szCs w:val="32"/>
          <w14:textFill>
            <w14:solidFill>
              <w14:schemeClr w14:val="tx1"/>
            </w14:solidFill>
          </w14:textFill>
        </w:rPr>
        <w:t>同时废止。</w:t>
      </w:r>
    </w:p>
    <w:p w14:paraId="6BD8D8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BDA4F"/>
    <w:multiLevelType w:val="singleLevel"/>
    <w:tmpl w:val="AFDBDA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iNTgwOThlYTZhMDBiMDhlMWMyYzgzZmNhM2NiYTkifQ=="/>
  </w:docVars>
  <w:rsids>
    <w:rsidRoot w:val="7B873221"/>
    <w:rsid w:val="22113759"/>
    <w:rsid w:val="3DFD23D1"/>
    <w:rsid w:val="620D1DFD"/>
    <w:rsid w:val="7B873221"/>
    <w:rsid w:val="7CAC0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Times New Roman" w:eastAsia="宋体" w:cs="Times New Roman"/>
      <w:sz w:val="21"/>
      <w:szCs w:val="22"/>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正文-公1"/>
    <w:basedOn w:val="1"/>
    <w:qFormat/>
    <w:uiPriority w:val="0"/>
    <w:pPr>
      <w:ind w:firstLine="200" w:firstLineChars="200"/>
    </w:pPr>
    <w:rPr>
      <w:rFonts w:ascii="Calibri" w:hAnsi="Calibri" w:cs="Calibri"/>
      <w:color w:val="00000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6940</Words>
  <Characters>7016</Characters>
  <Lines>0</Lines>
  <Paragraphs>0</Paragraphs>
  <TotalTime>1</TotalTime>
  <ScaleCrop>false</ScaleCrop>
  <LinksUpToDate>false</LinksUpToDate>
  <CharactersWithSpaces>7597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2025-11-20T08:00:00Z</dcterms:created>
  <dc:creator>断弦的木吉他</dc:creator>
  <cp:lastModifiedBy>猫爪ミ</cp:lastModifiedBy>
  <dcterms:modified xsi:type="dcterms:W3CDTF">2025-11-21T01:21:51Z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D9302E7409E14DE291F11F7A95185C66_11</vt:lpwstr>
  </property>
</Properties>
</file>