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7F9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79E398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Style w:val="7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2025年</w:t>
      </w:r>
      <w:r>
        <w:rPr>
          <w:rStyle w:val="7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铜陵悦江住房租赁服务有限公司面向社会公开招聘工作人员</w:t>
      </w:r>
      <w:r>
        <w:rPr>
          <w:rStyle w:val="7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岗位表</w:t>
      </w:r>
      <w:r>
        <w:rPr>
          <w:rStyle w:val="7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 </w:t>
      </w:r>
    </w:p>
    <w:bookmarkEnd w:id="0"/>
    <w:tbl>
      <w:tblPr>
        <w:tblStyle w:val="5"/>
        <w:tblpPr w:leftFromText="180" w:rightFromText="180" w:vertAnchor="text" w:horzAnchor="page" w:tblpX="1223" w:tblpY="578"/>
        <w:tblOverlap w:val="never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816"/>
        <w:gridCol w:w="1527"/>
        <w:gridCol w:w="883"/>
        <w:gridCol w:w="3900"/>
        <w:gridCol w:w="2616"/>
      </w:tblGrid>
      <w:tr w14:paraId="4AAD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816" w:type="dxa"/>
            <w:noWrap w:val="0"/>
            <w:vAlign w:val="center"/>
          </w:tcPr>
          <w:p w14:paraId="7E4A6000">
            <w:pPr>
              <w:snapToGrid w:val="0"/>
              <w:spacing w:line="600" w:lineRule="exact"/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27" w:type="dxa"/>
            <w:noWrap w:val="0"/>
            <w:vAlign w:val="center"/>
          </w:tcPr>
          <w:p w14:paraId="5F5C5F64">
            <w:pPr>
              <w:snapToGrid w:val="0"/>
              <w:spacing w:line="600" w:lineRule="exact"/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岗位及代码</w:t>
            </w:r>
          </w:p>
        </w:tc>
        <w:tc>
          <w:tcPr>
            <w:tcW w:w="883" w:type="dxa"/>
            <w:noWrap w:val="0"/>
            <w:vAlign w:val="center"/>
          </w:tcPr>
          <w:p w14:paraId="4547D01D">
            <w:pPr>
              <w:snapToGrid w:val="0"/>
              <w:spacing w:line="600" w:lineRule="exact"/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3900" w:type="dxa"/>
            <w:noWrap w:val="0"/>
            <w:vAlign w:val="center"/>
          </w:tcPr>
          <w:p w14:paraId="7BEE5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岗位要求</w:t>
            </w:r>
          </w:p>
        </w:tc>
        <w:tc>
          <w:tcPr>
            <w:tcW w:w="2616" w:type="dxa"/>
            <w:noWrap w:val="0"/>
            <w:vAlign w:val="center"/>
          </w:tcPr>
          <w:p w14:paraId="2C9DA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岗位职责</w:t>
            </w:r>
          </w:p>
        </w:tc>
      </w:tr>
      <w:tr w14:paraId="3EAC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816" w:type="dxa"/>
            <w:noWrap w:val="0"/>
            <w:vAlign w:val="center"/>
          </w:tcPr>
          <w:p w14:paraId="1665A188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1527" w:type="dxa"/>
            <w:noWrap w:val="0"/>
            <w:vAlign w:val="center"/>
          </w:tcPr>
          <w:p w14:paraId="675D9A75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总经理（20251101）</w:t>
            </w:r>
          </w:p>
        </w:tc>
        <w:tc>
          <w:tcPr>
            <w:tcW w:w="883" w:type="dxa"/>
            <w:noWrap w:val="0"/>
            <w:vAlign w:val="center"/>
          </w:tcPr>
          <w:p w14:paraId="4F366AD1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3900" w:type="dxa"/>
            <w:noWrap w:val="0"/>
            <w:vAlign w:val="center"/>
          </w:tcPr>
          <w:p w14:paraId="17272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1.国家承认本科及以上学历，专业为公共管理类、工商管理类、法学类。</w:t>
            </w:r>
          </w:p>
          <w:p w14:paraId="5A16F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2.40周岁及以下，1年及以上国企或开发区工作经历且担任过国有或国有控股企业正职（或主持工作）。</w:t>
            </w:r>
          </w:p>
          <w:p w14:paraId="3885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3.具备较强的组织协调沟通能力、营销能力、商务谈判与公关能力。</w:t>
            </w:r>
          </w:p>
          <w:p w14:paraId="1928D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4.具有完整的战略规划、团队搭建和绩效考核经验。有市场化企业扭亏为盈或转型升级成功案例者优先。</w:t>
            </w:r>
          </w:p>
          <w:p w14:paraId="2F73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5.具备强烈的市场敏锐度，擅长资源整合、资本运作和商业模式创新。有投融资、并购重组、项目建设、资产运营等项目操盘经验者优先。</w:t>
            </w:r>
          </w:p>
          <w:p w14:paraId="5A63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6.熟悉国有企业监管法规，严守廉洁从业底线。</w:t>
            </w:r>
          </w:p>
        </w:tc>
        <w:tc>
          <w:tcPr>
            <w:tcW w:w="2616" w:type="dxa"/>
            <w:noWrap w:val="0"/>
            <w:vAlign w:val="center"/>
          </w:tcPr>
          <w:p w14:paraId="22CEF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1.制定并实施公司发展战略，完成经开区下达的年度经营目标，推动重大投资项目决策执行，确保国有资产保值增值。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2.健全现代企业制度，优化法人治理结构，统筹公司人力资源、绩效考核体系建设。</w:t>
            </w:r>
          </w:p>
          <w:p w14:paraId="62376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left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3.推进市场化机制改革，协调政府、企业、银行、基金等多方关系，强化公司“为企服务”功能。</w:t>
            </w:r>
          </w:p>
        </w:tc>
      </w:tr>
      <w:tr w14:paraId="6023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816" w:type="dxa"/>
            <w:noWrap w:val="0"/>
            <w:vAlign w:val="center"/>
          </w:tcPr>
          <w:p w14:paraId="73C1301E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27" w:type="dxa"/>
            <w:noWrap w:val="0"/>
            <w:vAlign w:val="center"/>
          </w:tcPr>
          <w:p w14:paraId="2F3E4E1D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主办会计（20251102）</w:t>
            </w:r>
          </w:p>
        </w:tc>
        <w:tc>
          <w:tcPr>
            <w:tcW w:w="883" w:type="dxa"/>
            <w:noWrap w:val="0"/>
            <w:vAlign w:val="center"/>
          </w:tcPr>
          <w:p w14:paraId="534E0F83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00" w:type="dxa"/>
            <w:noWrap w:val="0"/>
            <w:vAlign w:val="center"/>
          </w:tcPr>
          <w:p w14:paraId="195B0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1.国家承认本科及以上学历，专业为会计专业、会计学专业、金融学专业、税收学专业、财务管理专业，具有会计中级以上职称。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2.40周岁及以下，具有5年及以上主办会计岗位工作经验。</w:t>
            </w:r>
          </w:p>
          <w:p w14:paraId="0943D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3.了解采购、费用等主要核算流程及相关制度，熟悉现行企业会计准则，熟悉税收法律法规等专业知识。</w:t>
            </w:r>
          </w:p>
          <w:p w14:paraId="4DA22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4.具有较强的执行能力和一定的沟通协调能力。</w:t>
            </w:r>
          </w:p>
          <w:p w14:paraId="2850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Times New Roman" w:hAnsi="Times New Roman" w:eastAsia="仿宋_GB2312" w:cs="微软雅黑"/>
                <w:color w:val="FF0000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5.能够独立完成工作任务；具有较强的学习能力、独立思考能力和良好的团队协作意识，能承受一定的工作压力。</w:t>
            </w:r>
          </w:p>
        </w:tc>
        <w:tc>
          <w:tcPr>
            <w:tcW w:w="2616" w:type="dxa"/>
            <w:noWrap w:val="0"/>
            <w:vAlign w:val="center"/>
          </w:tcPr>
          <w:p w14:paraId="78F08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1.负责制定相关财务制度，完善财务制度体系建设。</w:t>
            </w:r>
          </w:p>
          <w:p w14:paraId="0D6D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2.负责财税内控、风控和合规管理，完善财税风控制度体系。</w:t>
            </w:r>
          </w:p>
          <w:p w14:paraId="3B385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3.负责编制或审核财务报表、税务报表、预算报表、统计报表等相关财税报表，完善报表质量体系。</w:t>
            </w:r>
          </w:p>
          <w:p w14:paraId="4572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4.负责财务核算管理，包括往来核算、收入确认、成本核算、费用报销等会计核算管理。</w:t>
            </w:r>
          </w:p>
          <w:p w14:paraId="1FE0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5.负责资产及投融资管理。</w:t>
            </w:r>
          </w:p>
          <w:p w14:paraId="1DA5143F">
            <w:pPr>
              <w:pStyle w:val="4"/>
              <w:ind w:left="0" w:leftChars="0" w:firstLine="0" w:firstLineChars="0"/>
              <w:rPr>
                <w:rFonts w:hint="eastAsia" w:ascii="Times New Roman" w:hAnsi="Times New Roman" w:eastAsia="仿宋_GB2312"/>
                <w:spacing w:val="8"/>
                <w:sz w:val="22"/>
                <w:szCs w:val="21"/>
              </w:rPr>
            </w:pPr>
            <w:r>
              <w:rPr>
                <w:rFonts w:hint="eastAsia" w:ascii="Times New Roman" w:hAnsi="Times New Roman" w:cs="仿宋_GB2312"/>
                <w:kern w:val="0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/>
                <w:spacing w:val="8"/>
                <w:sz w:val="22"/>
                <w:szCs w:val="21"/>
              </w:rPr>
              <w:t>公司交办的其他工作。</w:t>
            </w:r>
          </w:p>
        </w:tc>
      </w:tr>
      <w:tr w14:paraId="3ECE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816" w:type="dxa"/>
            <w:noWrap w:val="0"/>
            <w:vAlign w:val="center"/>
          </w:tcPr>
          <w:p w14:paraId="79D441F0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27" w:type="dxa"/>
            <w:noWrap w:val="0"/>
            <w:vAlign w:val="center"/>
          </w:tcPr>
          <w:p w14:paraId="18767791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出纳（20251103）</w:t>
            </w:r>
          </w:p>
        </w:tc>
        <w:tc>
          <w:tcPr>
            <w:tcW w:w="883" w:type="dxa"/>
            <w:noWrap w:val="0"/>
            <w:vAlign w:val="center"/>
          </w:tcPr>
          <w:p w14:paraId="02BDD1ED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00" w:type="dxa"/>
            <w:noWrap w:val="0"/>
            <w:vAlign w:val="center"/>
          </w:tcPr>
          <w:p w14:paraId="5DF37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1.国家承认本科及以上学历，专业为会计专业、会计学专业、金融学专业、税收学专业、财务管理专业。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2.40周岁及以下，具有5年及以上出纳岗位相关工作经验。</w:t>
            </w:r>
          </w:p>
          <w:p w14:paraId="51535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3.了解采购、费用等主要核算流程及相关制度，熟悉现行企业会计准则，熟悉税收法律法规等专业知识。</w:t>
            </w:r>
          </w:p>
          <w:p w14:paraId="7FB5C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4.具有较强的执行能力和一定的沟通协调能力。</w:t>
            </w:r>
          </w:p>
          <w:p w14:paraId="748A5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5.能够独立完成工作任务；具有较强的学习能力、独立思考能力和良好的团队协作意识，能承受一定的工作压力。</w:t>
            </w:r>
          </w:p>
        </w:tc>
        <w:tc>
          <w:tcPr>
            <w:tcW w:w="2616" w:type="dxa"/>
            <w:noWrap w:val="0"/>
            <w:vAlign w:val="center"/>
          </w:tcPr>
          <w:p w14:paraId="4B05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1.负责公司银行收支结算业务。</w:t>
            </w:r>
          </w:p>
          <w:p w14:paraId="53A63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2.严格按照公司财务制度报销，结算公司各项费用。</w:t>
            </w:r>
          </w:p>
          <w:p w14:paraId="423D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3.保管公司财务印鉴、财务票据、保证印鉴票据使用的安全性。</w:t>
            </w:r>
          </w:p>
          <w:p w14:paraId="1E723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4.维护合同登记台账、做好收款核对工作。</w:t>
            </w:r>
          </w:p>
          <w:p w14:paraId="45150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val="en-US" w:eastAsia="zh-CN"/>
              </w:rPr>
              <w:t>5.公司交办的其他工作。</w:t>
            </w:r>
          </w:p>
        </w:tc>
      </w:tr>
    </w:tbl>
    <w:p w14:paraId="7A0BC2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23CA2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EBD508-471F-4F2A-807D-14821F532B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83B4799-2CEB-4DC8-AD64-4692297890F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7022696-85E5-4018-84C7-A35441008F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64FB520-D729-4938-9389-8A4E0F5902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258C7"/>
    <w:rsid w:val="3AC2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next w:val="1"/>
    <w:qFormat/>
    <w:uiPriority w:val="99"/>
    <w:pPr>
      <w:ind w:firstLine="420" w:firstLineChars="100"/>
    </w:p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2025-12-01T03:04:00Z</dcterms:created>
  <dc:creator>rayta</dc:creator>
  <cp:lastModifiedBy>rayta</cp:lastModifiedBy>
  <dcterms:modified xsi:type="dcterms:W3CDTF">2025-12-01T03:04:58Z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A71E3E3183B844FF8FE6E0B7C92C4BCA_11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