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94"/>
        <w:gridCol w:w="675"/>
        <w:gridCol w:w="1410"/>
        <w:gridCol w:w="2385"/>
        <w:gridCol w:w="1260"/>
        <w:gridCol w:w="39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40" w:lineRule="exact"/>
              <w:ind w:left="0" w:leftChars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神木市文化产业投资集团有限公司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lang w:val="en-US" w:eastAsia="zh-CN"/>
              </w:rPr>
              <w:t>公开招聘综合类岗位表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职称/职业资格/其他要求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“双一流”院校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法学、信用风险管理与法律防控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18周岁以上，35周岁以下（1989年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至2007年12月）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法律职业资格证书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限神木户籍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秘书学、汉语言文学、应运语言学、外国语言文学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人力资源管理、工商管理、劳动关系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中级人力资源专业技术证书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会计学、审计学、金融学、财务管理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中级会计专业技术资格证书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工程采购岗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工程管理、土木工程、 给排水科学与工程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综合一岗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国家教育行政主管部门认可的大专及以上文化程度。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35周岁以下（1989年12月至2007年12月）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低保户、建档立卡脱贫户和防止返贫致贫监测对象中未就业人员，考生报考资格以市民政局、市农业农村局和社会保险经办机构认定为准。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综合二岗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退役军人，考生报考资格以市退役军人事务局认定为准。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GM3OWM5YjE1ZGI3YzA0ZWVmNTUxMjhhNWRjM2QifQ=="/>
  </w:docVars>
  <w:rsids>
    <w:rsidRoot w:val="7058383C"/>
    <w:rsid w:val="7058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426</Characters>
  <Lines>0</Lines>
  <Paragraphs>0</Paragraphs>
  <TotalTime>0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2025-12-02T05:57:00Z</dcterms:created>
  <dc:creator>小马过河miss</dc:creator>
  <cp:lastModifiedBy>小马过河miss</cp:lastModifiedBy>
  <dcterms:modified xsi:type="dcterms:W3CDTF">2025-12-02T05:57:40Z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A478C09DF32B4E46878B0C7618D664E1_11</vt:lpwstr>
  </property>
</Properties>
</file>