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640" w:leftChars="-200" w:right="-826" w:rightChars="-258" w:firstLine="642" w:firstLineChars="200"/>
        <w:jc w:val="left"/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szCs w:val="32"/>
        </w:rPr>
        <w:t>附件1</w:t>
      </w:r>
    </w:p>
    <w:p>
      <w:pPr>
        <w:pStyle w:val="6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2025年度引才需求信息表</w:t>
      </w:r>
    </w:p>
    <w:tbl>
      <w:tblPr>
        <w:tblStyle w:val="8"/>
        <w:tblW w:w="14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335"/>
        <w:gridCol w:w="3045"/>
        <w:gridCol w:w="1335"/>
        <w:gridCol w:w="1991"/>
        <w:gridCol w:w="1879"/>
        <w:gridCol w:w="896"/>
        <w:gridCol w:w="1147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304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职务职称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9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学历学位要求</w:t>
            </w:r>
          </w:p>
        </w:tc>
        <w:tc>
          <w:tcPr>
            <w:tcW w:w="1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8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需求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14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引进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2438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提供薪酬、生活待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</w:rPr>
              <w:t>遇或其他优惠条件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临床医师1</w:t>
            </w:r>
          </w:p>
        </w:tc>
        <w:tc>
          <w:tcPr>
            <w:tcW w:w="304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FF0000"/>
                <w:kern w:val="0"/>
                <w:sz w:val="24"/>
              </w:rPr>
            </w:pPr>
            <w:bookmarkStart w:id="0" w:name="OLE_LINK17"/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老年医学105103</w:t>
            </w:r>
            <w:bookmarkEnd w:id="0"/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博士研究生学历且取得相应学位</w:t>
            </w:r>
          </w:p>
        </w:tc>
        <w:tc>
          <w:tcPr>
            <w:tcW w:w="1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年龄45周岁及以下；取得规培结业合格证</w:t>
            </w:r>
          </w:p>
        </w:tc>
        <w:tc>
          <w:tcPr>
            <w:tcW w:w="8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4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438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待遇从优，一人一策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临床医师2</w:t>
            </w:r>
          </w:p>
        </w:tc>
        <w:tc>
          <w:tcPr>
            <w:tcW w:w="304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FF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神经病学105104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博士研究生学历且取得相应学位</w:t>
            </w:r>
          </w:p>
        </w:tc>
        <w:tc>
          <w:tcPr>
            <w:tcW w:w="1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年龄45周岁及以下；取得规培结业合格证</w:t>
            </w:r>
          </w:p>
        </w:tc>
        <w:tc>
          <w:tcPr>
            <w:tcW w:w="8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4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438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3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临床医师3</w:t>
            </w:r>
          </w:p>
        </w:tc>
        <w:tc>
          <w:tcPr>
            <w:tcW w:w="304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精神病与精神卫生学105105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博士研究生学历且取得相应学位</w:t>
            </w:r>
          </w:p>
        </w:tc>
        <w:tc>
          <w:tcPr>
            <w:tcW w:w="1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年龄45周岁及以下；取得规培结业合格证</w:t>
            </w:r>
          </w:p>
        </w:tc>
        <w:tc>
          <w:tcPr>
            <w:tcW w:w="8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4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438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临床医师7</w:t>
            </w:r>
          </w:p>
        </w:tc>
        <w:tc>
          <w:tcPr>
            <w:tcW w:w="304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精神病与精神卫生学105105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硕士研究生及以上学历且取得相应学位</w:t>
            </w:r>
          </w:p>
        </w:tc>
        <w:tc>
          <w:tcPr>
            <w:tcW w:w="1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年龄40周岁及以下</w:t>
            </w:r>
          </w:p>
        </w:tc>
        <w:tc>
          <w:tcPr>
            <w:tcW w:w="8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4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438" w:type="dxa"/>
            <w:vMerge w:val="restart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lang w:val="en-US" w:eastAsia="zh-CN"/>
              </w:rPr>
              <w:t>按医院政策给予人才补助资金。</w:t>
            </w:r>
          </w:p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3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麻醉医师</w:t>
            </w:r>
          </w:p>
        </w:tc>
        <w:tc>
          <w:tcPr>
            <w:tcW w:w="304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麻醉学105118</w:t>
            </w:r>
          </w:p>
        </w:tc>
        <w:tc>
          <w:tcPr>
            <w:tcW w:w="1335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/</w:t>
            </w:r>
          </w:p>
        </w:tc>
        <w:tc>
          <w:tcPr>
            <w:tcW w:w="1991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硕士研究生及以上学历且取得相应学位</w:t>
            </w:r>
          </w:p>
        </w:tc>
        <w:tc>
          <w:tcPr>
            <w:tcW w:w="1879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年龄40周岁及以下</w:t>
            </w:r>
          </w:p>
        </w:tc>
        <w:tc>
          <w:tcPr>
            <w:tcW w:w="896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napToGrid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47" w:type="dxa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0"/>
                <w:sz w:val="24"/>
              </w:rPr>
              <w:t>编制内引进</w:t>
            </w:r>
          </w:p>
        </w:tc>
        <w:tc>
          <w:tcPr>
            <w:tcW w:w="2438" w:type="dxa"/>
            <w:vMerge w:val="continue"/>
            <w:noWrap w:val="0"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bCs/>
                <w:kern w:val="0"/>
                <w:sz w:val="24"/>
              </w:rPr>
            </w:pPr>
          </w:p>
        </w:tc>
      </w:tr>
    </w:tbl>
    <w:p>
      <w:pPr>
        <w:pStyle w:val="7"/>
        <w:ind w:firstLine="643"/>
        <w:rPr>
          <w:rFonts w:hint="default" w:ascii="Times New Roman" w:hAnsi="Times New Roman" w:cs="Times New Roman"/>
        </w:rPr>
        <w:sectPr>
          <w:pgSz w:w="16838" w:h="11906" w:orient="landscape"/>
          <w:pgMar w:top="1531" w:right="1417" w:bottom="1474" w:left="1417" w:header="851" w:footer="1247" w:gutter="0"/>
          <w:pgNumType w:fmt="numberInDash"/>
          <w:cols w:space="720" w:num="1"/>
          <w:docGrid w:linePitch="597" w:charSpace="0"/>
        </w:sectPr>
      </w:pPr>
    </w:p>
    <w:p>
      <w:pPr>
        <w:pStyle w:val="3"/>
        <w:spacing w:line="600" w:lineRule="exact"/>
        <w:rPr>
          <w:rFonts w:hint="default" w:ascii="Times New Roman" w:hAnsi="Times New Roman" w:eastAsia="方正黑体_GBK" w:cs="Times New Roman"/>
          <w:bCs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sz w:val="28"/>
          <w:szCs w:val="28"/>
        </w:rPr>
        <w:t>附件2</w:t>
      </w:r>
    </w:p>
    <w:p>
      <w:pPr>
        <w:widowControl/>
        <w:spacing w:line="660" w:lineRule="exact"/>
        <w:jc w:val="center"/>
        <w:rPr>
          <w:rFonts w:hint="default" w:ascii="Times New Roman" w:hAnsi="Times New Roman" w:eastAsia="仿宋_GB2312" w:cs="Times New Roman"/>
          <w:color w:val="000000"/>
          <w:w w:val="90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w w:val="90"/>
          <w:sz w:val="44"/>
          <w:szCs w:val="44"/>
        </w:rPr>
        <w:t>四川省南充市2025年度引进高层次人才报名表</w:t>
      </w:r>
      <w:bookmarkStart w:id="1" w:name="_GoBack"/>
      <w:bookmarkEnd w:id="1"/>
    </w:p>
    <w:tbl>
      <w:tblPr>
        <w:tblStyle w:val="8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照 片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</w:rPr>
              <w:t>（2寸彩色免冠）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健 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参 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在 职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电子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报考单位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简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（从大学教育填起）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112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家庭主要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成员及重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要社会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75813"/>
    <w:rsid w:val="D777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3">
    <w:name w:val="Body Text"/>
    <w:basedOn w:val="1"/>
    <w:next w:val="1"/>
    <w:qFormat/>
    <w:uiPriority w:val="0"/>
    <w:pPr>
      <w:spacing w:after="120"/>
      <w:ind w:firstLine="0" w:firstLineChars="0"/>
    </w:pPr>
    <w:rPr>
      <w:sz w:val="24"/>
    </w:rPr>
  </w:style>
  <w:style w:type="paragraph" w:styleId="4">
    <w:name w:val="Body Text Indent"/>
    <w:basedOn w:val="1"/>
    <w:next w:val="2"/>
    <w:qFormat/>
    <w:uiPriority w:val="0"/>
    <w:pPr>
      <w:tabs>
        <w:tab w:val="left" w:pos="2250"/>
      </w:tabs>
      <w:spacing w:before="100" w:beforeAutospacing="1" w:line="180" w:lineRule="exact"/>
      <w:ind w:firstLine="629"/>
    </w:pPr>
    <w:rPr>
      <w:color w:val="FF000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next w:val="5"/>
    <w:qFormat/>
    <w:uiPriority w:val="0"/>
    <w:pPr>
      <w:spacing w:before="0" w:line="600" w:lineRule="exact"/>
      <w:ind w:firstLine="200" w:firstLineChars="200"/>
    </w:pPr>
    <w:rPr>
      <w:rFonts w:ascii="Calibri" w:hAnsi="Calibri"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2025-12-02T16:58:00Z</dcterms:created>
  <dc:creator>uos</dc:creator>
  <cp:lastModifiedBy>uos</cp:lastModifiedBy>
  <dcterms:modified xsi:type="dcterms:W3CDTF">2025-12-02T16:59:09Z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