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FD9E8">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b w:val="0"/>
          <w:bCs/>
          <w:kern w:val="2"/>
          <w:sz w:val="36"/>
          <w:szCs w:val="36"/>
          <w:lang w:val="en-US" w:eastAsia="zh-CN" w:bidi="ar-SA"/>
        </w:rPr>
      </w:pPr>
      <w:r>
        <w:rPr>
          <w:rFonts w:hint="eastAsia" w:ascii="方正小标宋简体" w:hAnsi="方正小标宋简体" w:eastAsia="方正小标宋简体" w:cs="方正小标宋简体"/>
          <w:b w:val="0"/>
          <w:bCs/>
          <w:kern w:val="2"/>
          <w:sz w:val="36"/>
          <w:szCs w:val="36"/>
          <w:lang w:val="en-US" w:eastAsia="zh-CN" w:bidi="ar-SA"/>
        </w:rPr>
        <w:t>黄冈市兴黄投资引导基金有限公司面向社会公开招聘任职资格与岗位要求</w:t>
      </w:r>
    </w:p>
    <w:p w14:paraId="0CBC6151">
      <w:pPr>
        <w:pStyle w:val="3"/>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rPr>
          <w:rFonts w:hint="eastAsia" w:ascii="方正小标宋简体" w:hAnsi="方正小标宋简体" w:eastAsia="方正小标宋简体" w:cs="方正小标宋简体"/>
          <w:b w:val="0"/>
          <w:bCs/>
          <w:kern w:val="2"/>
          <w:sz w:val="44"/>
          <w:szCs w:val="44"/>
          <w:lang w:val="en-US" w:eastAsia="zh-CN" w:bidi="ar-SA"/>
        </w:rPr>
      </w:pPr>
    </w:p>
    <w:tbl>
      <w:tblPr>
        <w:tblStyle w:val="4"/>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557"/>
        <w:gridCol w:w="737"/>
        <w:gridCol w:w="4136"/>
        <w:gridCol w:w="5563"/>
        <w:gridCol w:w="862"/>
        <w:gridCol w:w="862"/>
      </w:tblGrid>
      <w:tr w14:paraId="6DD5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A0C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序号</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68E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招聘岗位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6EB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数量</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9B3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岗位职责</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88D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任职资格</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99B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用工性质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686D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snapToGrid w:val="0"/>
                <w:color w:val="000000"/>
                <w:kern w:val="0"/>
                <w:sz w:val="24"/>
                <w:szCs w:val="24"/>
                <w:u w:val="none"/>
                <w:lang w:val="en-US" w:eastAsia="zh-CN" w:bidi="ar"/>
              </w:rPr>
              <w:t>招聘方式</w:t>
            </w:r>
          </w:p>
        </w:tc>
      </w:tr>
      <w:tr w14:paraId="0CC2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1"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934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E5CF">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基金管理部高级经理</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427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568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（1）按照黄冈市政府投资引导基金年度工作计划，推进相关业务工作；</w:t>
            </w:r>
          </w:p>
          <w:p w14:paraId="6E17976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（2）制定或参与制定参股基金合伙协议（章程），维护出资人权益；</w:t>
            </w:r>
          </w:p>
          <w:p w14:paraId="3A21FB1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（3）协同黄冈市政府投资引导基金受托管理机构，完成参股基金设立，落实重点投向政策性审核和备案，加强政府出资管理和黄冈市政府投资引导基金投后管理;</w:t>
            </w:r>
          </w:p>
          <w:p w14:paraId="01CB8CB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（4）建立业务管理相关制度；</w:t>
            </w:r>
          </w:p>
          <w:p w14:paraId="3938F2A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（5）参与组织各类业务活动，做好相关宣传工作；</w:t>
            </w:r>
          </w:p>
          <w:p w14:paraId="31A170C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（6）领导交办的其他工作。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2FD">
            <w:pPr>
              <w:keepNext w:val="0"/>
              <w:keepLines w:val="0"/>
              <w:widowControl/>
              <w:suppressLineNumbers w:val="0"/>
              <w:jc w:val="left"/>
              <w:textAlignment w:val="center"/>
              <w:rPr>
                <w:rFonts w:hint="default"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（1）学历专业要求：全日制本科及以上学历，经济学类（0201）</w:t>
            </w:r>
            <w:r>
              <w:rPr>
                <w:rFonts w:hint="default" w:ascii="仿宋_GB2312" w:hAnsi="仿宋_GB2312" w:eastAsia="仿宋_GB2312" w:cs="仿宋_GB2312"/>
                <w:i w:val="0"/>
                <w:iCs w:val="0"/>
                <w:snapToGrid w:val="0"/>
                <w:color w:val="000000"/>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财政学类（0202）、</w:t>
            </w:r>
            <w:r>
              <w:rPr>
                <w:rFonts w:hint="default" w:ascii="仿宋_GB2312" w:hAnsi="仿宋_GB2312" w:eastAsia="仿宋_GB2312" w:cs="仿宋_GB2312"/>
                <w:i w:val="0"/>
                <w:iCs w:val="0"/>
                <w:snapToGrid w:val="0"/>
                <w:color w:val="000000"/>
                <w:kern w:val="0"/>
                <w:sz w:val="24"/>
                <w:szCs w:val="24"/>
                <w:u w:val="none"/>
                <w:lang w:val="en-US" w:eastAsia="zh-CN" w:bidi="ar"/>
              </w:rPr>
              <w:t>金融学类</w:t>
            </w:r>
            <w:r>
              <w:rPr>
                <w:rFonts w:hint="eastAsia" w:ascii="仿宋_GB2312" w:hAnsi="仿宋_GB2312" w:eastAsia="仿宋_GB2312" w:cs="仿宋_GB2312"/>
                <w:i w:val="0"/>
                <w:iCs w:val="0"/>
                <w:snapToGrid w:val="0"/>
                <w:color w:val="000000"/>
                <w:kern w:val="0"/>
                <w:sz w:val="24"/>
                <w:szCs w:val="24"/>
                <w:u w:val="none"/>
                <w:lang w:val="en-US" w:eastAsia="zh-CN" w:bidi="ar"/>
              </w:rPr>
              <w:t>（</w:t>
            </w:r>
            <w:r>
              <w:rPr>
                <w:rFonts w:hint="default" w:ascii="仿宋_GB2312" w:hAnsi="仿宋_GB2312" w:eastAsia="仿宋_GB2312" w:cs="仿宋_GB2312"/>
                <w:i w:val="0"/>
                <w:iCs w:val="0"/>
                <w:snapToGrid w:val="0"/>
                <w:color w:val="000000"/>
                <w:kern w:val="0"/>
                <w:sz w:val="24"/>
                <w:szCs w:val="24"/>
                <w:u w:val="none"/>
                <w:lang w:val="en-US" w:eastAsia="zh-CN" w:bidi="ar"/>
              </w:rPr>
              <w:t>0203</w:t>
            </w:r>
            <w:r>
              <w:rPr>
                <w:rFonts w:hint="eastAsia" w:ascii="仿宋_GB2312" w:hAnsi="仿宋_GB2312" w:eastAsia="仿宋_GB2312" w:cs="仿宋_GB2312"/>
                <w:i w:val="0"/>
                <w:iCs w:val="0"/>
                <w:snapToGrid w:val="0"/>
                <w:color w:val="000000"/>
                <w:kern w:val="0"/>
                <w:sz w:val="24"/>
                <w:szCs w:val="24"/>
                <w:u w:val="none"/>
                <w:lang w:val="en-US" w:eastAsia="zh-CN" w:bidi="ar"/>
              </w:rPr>
              <w:t>）、法学类（0301）专业；具有基金从业资格；</w:t>
            </w:r>
          </w:p>
          <w:p w14:paraId="2BDA82F3">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（2）年龄和工作年限要求：年龄在40周岁及以下，从事产业投资基金或创业投资基金相关工作3年及以上。</w:t>
            </w:r>
            <w:bookmarkStart w:id="1" w:name="_GoBack"/>
            <w:bookmarkEnd w:id="1"/>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16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劳动合同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8073">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社会招聘</w:t>
            </w:r>
          </w:p>
        </w:tc>
      </w:tr>
      <w:tr w14:paraId="6A87A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D45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snapToGrid w:val="0"/>
                <w:color w:val="000000"/>
                <w:kern w:val="0"/>
                <w:sz w:val="24"/>
                <w:szCs w:val="24"/>
                <w:u w:val="none"/>
                <w:lang w:val="en-US" w:eastAsia="zh-CN" w:bidi="ar"/>
              </w:rPr>
              <w:t>2</w:t>
            </w: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C182">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风控合规部副部长</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CDBE">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1</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C85D">
            <w:pPr>
              <w:keepNext w:val="0"/>
              <w:keepLines w:val="0"/>
              <w:widowControl/>
              <w:numPr>
                <w:ilvl w:val="0"/>
                <w:numId w:val="1"/>
              </w:numPr>
              <w:suppressLineNumbers w:val="0"/>
              <w:ind w:left="0" w:leftChars="0" w:firstLine="0" w:firstLineChars="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建立健全公司的合规管理体系，及时识别和处理公司及参股基金的合规风险；</w:t>
            </w:r>
          </w:p>
          <w:p w14:paraId="4BC307CB">
            <w:pPr>
              <w:keepNext w:val="0"/>
              <w:keepLines w:val="0"/>
              <w:widowControl/>
              <w:numPr>
                <w:ilvl w:val="0"/>
                <w:numId w:val="1"/>
              </w:numPr>
              <w:suppressLineNumbers w:val="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根据公司发展要求，建立公司风险管理体系、定期进行风险排查，及时处置相关风险；</w:t>
            </w:r>
          </w:p>
          <w:p w14:paraId="752EAE6C">
            <w:pPr>
              <w:keepNext w:val="0"/>
              <w:keepLines w:val="0"/>
              <w:widowControl/>
              <w:numPr>
                <w:ilvl w:val="0"/>
                <w:numId w:val="0"/>
              </w:numPr>
              <w:suppressLineNumbers w:val="0"/>
              <w:ind w:leftChars="0"/>
              <w:jc w:val="left"/>
              <w:textAlignment w:val="center"/>
              <w:rPr>
                <w:rFonts w:hint="eastAsia" w:ascii="仿宋_GB2312" w:hAnsi="仿宋_GB2312" w:eastAsia="仿宋_GB2312" w:cs="仿宋_GB2312"/>
                <w:i w:val="0"/>
                <w:iCs w:val="0"/>
                <w:snapToGrid w:val="0"/>
                <w:color w:val="000000"/>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（3）做好法律事务管理工作，负责公司法治建设，起草与审核公司相关合同及重要法律文件，建立公司法律审核台账；</w:t>
            </w:r>
          </w:p>
          <w:p w14:paraId="5E7B4D35">
            <w:pP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（4）领导交办的其他工作。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F613">
            <w:pPr>
              <w:keepNext w:val="0"/>
              <w:keepLines w:val="0"/>
              <w:widowControl/>
              <w:suppressLineNumbers w:val="0"/>
              <w:jc w:val="left"/>
              <w:textAlignment w:val="center"/>
              <w:rPr>
                <w:rFonts w:hint="eastAsia" w:ascii="仿宋_GB2312" w:hAnsi="仿宋_GB2312" w:eastAsia="仿宋_GB2312" w:cs="仿宋_GB2312"/>
                <w:i w:val="0"/>
                <w:iCs w:val="0"/>
                <w:snapToGrid w:val="0"/>
                <w:color w:val="auto"/>
                <w:kern w:val="0"/>
                <w:sz w:val="24"/>
                <w:szCs w:val="24"/>
                <w:u w:val="none"/>
                <w:lang w:val="en-US" w:eastAsia="zh-CN" w:bidi="ar"/>
              </w:rPr>
            </w:pPr>
            <w:r>
              <w:rPr>
                <w:rFonts w:hint="eastAsia" w:ascii="仿宋_GB2312" w:hAnsi="仿宋_GB2312" w:eastAsia="仿宋_GB2312" w:cs="仿宋_GB2312"/>
                <w:i w:val="0"/>
                <w:iCs w:val="0"/>
                <w:snapToGrid w:val="0"/>
                <w:color w:val="000000"/>
                <w:kern w:val="0"/>
                <w:sz w:val="24"/>
                <w:szCs w:val="24"/>
                <w:u w:val="none"/>
                <w:lang w:val="en-US" w:eastAsia="zh-CN" w:bidi="ar"/>
              </w:rPr>
              <w:t>（1</w:t>
            </w:r>
            <w:r>
              <w:rPr>
                <w:rFonts w:hint="eastAsia" w:ascii="仿宋_GB2312" w:hAnsi="仿宋_GB2312" w:eastAsia="仿宋_GB2312" w:cs="仿宋_GB2312"/>
                <w:i w:val="0"/>
                <w:iCs w:val="0"/>
                <w:snapToGrid w:val="0"/>
                <w:color w:val="auto"/>
                <w:kern w:val="0"/>
                <w:sz w:val="24"/>
                <w:szCs w:val="24"/>
                <w:u w:val="none"/>
                <w:lang w:val="en-US" w:eastAsia="zh-CN" w:bidi="ar"/>
              </w:rPr>
              <w:t>）学历专业要求：</w:t>
            </w:r>
            <w:r>
              <w:rPr>
                <w:rFonts w:hint="eastAsia" w:ascii="仿宋_GB2312" w:hAnsi="仿宋_GB2312" w:eastAsia="仿宋_GB2312" w:cs="仿宋_GB2312"/>
                <w:i w:val="0"/>
                <w:iCs w:val="0"/>
                <w:snapToGrid w:val="0"/>
                <w:color w:val="000000"/>
                <w:kern w:val="0"/>
                <w:sz w:val="24"/>
                <w:szCs w:val="24"/>
                <w:u w:val="none"/>
                <w:lang w:val="en-US" w:eastAsia="zh-CN" w:bidi="ar"/>
              </w:rPr>
              <w:t>全日制本科及以上学历</w:t>
            </w:r>
            <w:r>
              <w:rPr>
                <w:rFonts w:hint="eastAsia" w:ascii="仿宋_GB2312" w:hAnsi="仿宋_GB2312" w:eastAsia="仿宋_GB2312" w:cs="仿宋_GB2312"/>
                <w:i w:val="0"/>
                <w:iCs w:val="0"/>
                <w:snapToGrid w:val="0"/>
                <w:color w:val="auto"/>
                <w:kern w:val="0"/>
                <w:sz w:val="24"/>
                <w:szCs w:val="24"/>
                <w:u w:val="none"/>
                <w:lang w:val="en-US" w:eastAsia="zh-CN" w:bidi="ar"/>
              </w:rPr>
              <w:t>，</w:t>
            </w:r>
            <w:r>
              <w:rPr>
                <w:rFonts w:hint="eastAsia" w:ascii="仿宋_GB2312" w:hAnsi="仿宋_GB2312" w:eastAsia="仿宋_GB2312" w:cs="仿宋_GB2312"/>
                <w:i w:val="0"/>
                <w:iCs w:val="0"/>
                <w:snapToGrid w:val="0"/>
                <w:color w:val="000000"/>
                <w:kern w:val="0"/>
                <w:sz w:val="24"/>
                <w:szCs w:val="24"/>
                <w:u w:val="none"/>
                <w:lang w:val="en-US" w:eastAsia="zh-CN" w:bidi="ar"/>
              </w:rPr>
              <w:t>法学类（0301）专业</w:t>
            </w:r>
            <w:r>
              <w:rPr>
                <w:rFonts w:hint="eastAsia" w:ascii="仿宋_GB2312" w:hAnsi="仿宋_GB2312" w:eastAsia="仿宋_GB2312" w:cs="仿宋_GB2312"/>
                <w:i w:val="0"/>
                <w:iCs w:val="0"/>
                <w:snapToGrid w:val="0"/>
                <w:color w:val="auto"/>
                <w:kern w:val="0"/>
                <w:sz w:val="24"/>
                <w:szCs w:val="24"/>
                <w:u w:val="none"/>
                <w:lang w:val="en-US" w:eastAsia="zh-CN" w:bidi="ar"/>
              </w:rPr>
              <w:t>，持有有效法律职业资格证书；</w:t>
            </w:r>
          </w:p>
          <w:p w14:paraId="0A7C374F">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auto"/>
                <w:kern w:val="0"/>
                <w:sz w:val="24"/>
                <w:szCs w:val="24"/>
                <w:u w:val="none"/>
                <w:lang w:val="en-US" w:eastAsia="zh-CN" w:bidi="ar"/>
              </w:rPr>
              <w:t>（2）年龄和工作年限要求：年龄在40周岁及以下，从事风控合规</w:t>
            </w:r>
            <w:r>
              <w:rPr>
                <w:rFonts w:hint="eastAsia" w:ascii="仿宋_GB2312" w:hAnsi="仿宋_GB2312" w:eastAsia="仿宋_GB2312" w:cs="仿宋_GB2312"/>
                <w:i w:val="0"/>
                <w:iCs w:val="0"/>
                <w:snapToGrid w:val="0"/>
                <w:color w:val="000000"/>
                <w:kern w:val="0"/>
                <w:sz w:val="24"/>
                <w:szCs w:val="24"/>
                <w:u w:val="none"/>
                <w:lang w:val="en-US" w:eastAsia="zh-CN" w:bidi="ar"/>
              </w:rPr>
              <w:t>相关岗位工作3年及以上。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6DF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snapToGrid w:val="0"/>
                <w:color w:val="000000"/>
                <w:kern w:val="0"/>
                <w:sz w:val="24"/>
                <w:szCs w:val="24"/>
                <w:u w:val="none"/>
                <w:lang w:val="en-US" w:eastAsia="zh-CN" w:bidi="ar"/>
              </w:rPr>
              <w:t>劳动合同</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E9FA">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社会</w:t>
            </w:r>
          </w:p>
          <w:p w14:paraId="7D4C88C1">
            <w:pPr>
              <w:keepNext w:val="0"/>
              <w:keepLines w:val="0"/>
              <w:widowControl/>
              <w:suppressLineNumbers w:val="0"/>
              <w:jc w:val="both"/>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sz w:val="24"/>
                <w:szCs w:val="24"/>
                <w:u w:val="none"/>
                <w:lang w:val="en-US" w:eastAsia="zh-CN"/>
              </w:rPr>
              <w:t>招聘</w:t>
            </w:r>
          </w:p>
        </w:tc>
      </w:tr>
      <w:tr w14:paraId="668B9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5694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合    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842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snapToGrid w:val="0"/>
                <w:color w:val="000000"/>
                <w:kern w:val="0"/>
                <w:sz w:val="24"/>
                <w:szCs w:val="24"/>
                <w:u w:val="none"/>
                <w:lang w:val="en-US" w:eastAsia="zh-CN" w:bidi="ar"/>
              </w:rPr>
              <w:t>2</w:t>
            </w:r>
          </w:p>
        </w:tc>
        <w:tc>
          <w:tcPr>
            <w:tcW w:w="4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21F9">
            <w:pPr>
              <w:jc w:val="center"/>
              <w:rPr>
                <w:rFonts w:hint="eastAsia" w:ascii="仿宋_GB2312" w:hAnsi="仿宋_GB2312" w:eastAsia="仿宋_GB2312" w:cs="仿宋_GB2312"/>
                <w:b/>
                <w:bCs/>
                <w:i w:val="0"/>
                <w:iCs w:val="0"/>
                <w:color w:val="000000"/>
                <w:sz w:val="24"/>
                <w:szCs w:val="24"/>
                <w:u w:val="none"/>
              </w:rPr>
            </w:pP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7AA8">
            <w:pPr>
              <w:jc w:val="center"/>
              <w:rPr>
                <w:rFonts w:hint="eastAsia" w:ascii="仿宋_GB2312" w:hAnsi="仿宋_GB2312" w:eastAsia="仿宋_GB2312" w:cs="仿宋_GB2312"/>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13B4">
            <w:pPr>
              <w:jc w:val="center"/>
              <w:rPr>
                <w:rFonts w:hint="eastAsia" w:ascii="仿宋_GB2312" w:hAnsi="仿宋_GB2312" w:eastAsia="仿宋_GB2312" w:cs="仿宋_GB2312"/>
                <w:b/>
                <w:bCs/>
                <w:i w:val="0"/>
                <w:iCs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43FB">
            <w:pPr>
              <w:jc w:val="center"/>
              <w:rPr>
                <w:rFonts w:hint="eastAsia" w:ascii="仿宋_GB2312" w:hAnsi="仿宋_GB2312" w:eastAsia="仿宋_GB2312" w:cs="仿宋_GB2312"/>
                <w:b/>
                <w:bCs/>
                <w:i w:val="0"/>
                <w:iCs w:val="0"/>
                <w:color w:val="000000"/>
                <w:sz w:val="24"/>
                <w:szCs w:val="24"/>
                <w:u w:val="none"/>
              </w:rPr>
            </w:pPr>
          </w:p>
        </w:tc>
      </w:tr>
    </w:tbl>
    <w:p w14:paraId="7B8C9EA3">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560" w:lineRule="exact"/>
        <w:ind w:right="0"/>
        <w:jc w:val="left"/>
        <w:textAlignment w:val="baseline"/>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说明：1.以上</w:t>
      </w:r>
      <w:bookmarkStart w:id="0" w:name="OLE_LINK1"/>
      <w:r>
        <w:rPr>
          <w:rFonts w:hint="eastAsia" w:ascii="仿宋_GB2312" w:hAnsi="仿宋_GB2312" w:eastAsia="仿宋_GB2312" w:cs="仿宋_GB2312"/>
          <w:i w:val="0"/>
          <w:iCs w:val="0"/>
          <w:snapToGrid w:val="0"/>
          <w:color w:val="auto"/>
          <w:kern w:val="0"/>
          <w:sz w:val="24"/>
          <w:szCs w:val="24"/>
          <w:highlight w:val="none"/>
          <w:u w:val="none"/>
          <w:lang w:val="en-US" w:eastAsia="zh-CN" w:bidi="ar"/>
        </w:rPr>
        <w:t>专业名称及代码源于教育部颁布的相关学科、专业目录</w:t>
      </w:r>
      <w:bookmarkEnd w:id="0"/>
      <w:r>
        <w:rPr>
          <w:rFonts w:hint="eastAsia" w:ascii="仿宋_GB2312" w:hAnsi="仿宋_GB2312" w:eastAsia="仿宋_GB2312" w:cs="仿宋_GB2312"/>
          <w:i w:val="0"/>
          <w:iCs w:val="0"/>
          <w:snapToGrid w:val="0"/>
          <w:color w:val="auto"/>
          <w:kern w:val="0"/>
          <w:sz w:val="24"/>
          <w:szCs w:val="24"/>
          <w:highlight w:val="none"/>
          <w:u w:val="none"/>
          <w:lang w:val="en-US" w:eastAsia="zh-CN" w:bidi="ar"/>
        </w:rPr>
        <w:t>及相关院校自主开设的专业。</w:t>
      </w:r>
    </w:p>
    <w:p w14:paraId="3B825D48">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560" w:lineRule="exact"/>
        <w:ind w:left="960" w:right="0" w:hanging="960" w:hangingChars="400"/>
        <w:jc w:val="left"/>
        <w:textAlignment w:val="baseline"/>
        <w:rPr>
          <w:rFonts w:hint="eastAsia"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 xml:space="preserve">      2.上表中相关岗位的年龄条件均按周年计算，从11月30日起算。如某岗位年龄要求40周岁及以下，则应聘人员应为1985年11月30日及以后出生。</w:t>
      </w:r>
    </w:p>
    <w:p w14:paraId="750E3551">
      <w:pPr>
        <w:pStyle w:val="3"/>
        <w:keepNext w:val="0"/>
        <w:keepLines w:val="0"/>
        <w:pageBreakBefore w:val="0"/>
        <w:widowControl/>
        <w:tabs>
          <w:tab w:val="left" w:pos="11467"/>
        </w:tabs>
        <w:kinsoku w:val="0"/>
        <w:wordWrap/>
        <w:overflowPunct/>
        <w:topLinePunct w:val="0"/>
        <w:autoSpaceDE w:val="0"/>
        <w:autoSpaceDN w:val="0"/>
        <w:bidi w:val="0"/>
        <w:adjustRightInd w:val="0"/>
        <w:snapToGrid w:val="0"/>
        <w:spacing w:line="560" w:lineRule="exact"/>
        <w:ind w:right="0"/>
        <w:jc w:val="left"/>
        <w:textAlignment w:val="baseline"/>
        <w:rPr>
          <w:rFonts w:hint="default" w:ascii="仿宋_GB2312" w:hAnsi="仿宋_GB2312" w:eastAsia="仿宋_GB2312" w:cs="仿宋_GB2312"/>
          <w:i w:val="0"/>
          <w:iCs w:val="0"/>
          <w:snapToGrid w:val="0"/>
          <w:color w:val="auto"/>
          <w:kern w:val="0"/>
          <w:sz w:val="24"/>
          <w:szCs w:val="24"/>
          <w:highlight w:val="none"/>
          <w:u w:val="none"/>
          <w:lang w:val="en-US" w:eastAsia="zh-CN" w:bidi="ar"/>
        </w:rPr>
      </w:pPr>
      <w:r>
        <w:rPr>
          <w:rFonts w:hint="eastAsia" w:ascii="仿宋_GB2312" w:hAnsi="仿宋_GB2312" w:eastAsia="仿宋_GB2312" w:cs="仿宋_GB2312"/>
          <w:i w:val="0"/>
          <w:iCs w:val="0"/>
          <w:snapToGrid w:val="0"/>
          <w:color w:val="auto"/>
          <w:kern w:val="0"/>
          <w:sz w:val="24"/>
          <w:szCs w:val="24"/>
          <w:highlight w:val="none"/>
          <w:u w:val="none"/>
          <w:lang w:val="en-US" w:eastAsia="zh-CN" w:bidi="ar"/>
        </w:rPr>
        <w:t xml:space="preserve">      3.上表中工作年限的计算截止日期为公告发布之日。</w:t>
      </w:r>
    </w:p>
    <w:p w14:paraId="21CFE6D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2000019F" w:csb1="4F01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D3663"/>
    <w:multiLevelType w:val="singleLevel"/>
    <w:tmpl w:val="F5DD366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YjMwNjIzNDZhNzE3YjQ5OTE0Yzk5Zjg0MTM5MjkifQ=="/>
  </w:docVars>
  <w:rsids>
    <w:rsidRoot w:val="74CD00A2"/>
    <w:rsid w:val="0BAC352D"/>
    <w:rsid w:val="15586889"/>
    <w:rsid w:val="1B2F20B8"/>
    <w:rsid w:val="1CAB6182"/>
    <w:rsid w:val="222D1E6B"/>
    <w:rsid w:val="5860289E"/>
    <w:rsid w:val="74AF195B"/>
    <w:rsid w:val="74CD0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
    <w:unhideWhenUsed/>
    <w:qFormat/>
    <w:uiPriority w:val="99"/>
    <w:pPr>
      <w:widowControl w:val="0"/>
      <w:spacing w:before="156" w:after="156"/>
      <w:jc w:val="both"/>
    </w:pPr>
    <w:rPr>
      <w:rFonts w:ascii="Calibri" w:hAnsi="Calibri" w:eastAsia="宋体" w:cs="Times New Roman"/>
      <w:kern w:val="2"/>
      <w:sz w:val="21"/>
      <w:szCs w:val="22"/>
      <w:lang w:val="en-US" w:eastAsia="zh-CN" w:bidi="ar-SA"/>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15a44748-e8b4-4c8e-a0ce-656e4794942c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5E7B4D35</paraID>
      <start>0</start>
      <end>3</end>
      <status>modified</status>
      <modifiedWord>（4）</modifiedWord>
      <trackRevisions>false</trackRevisions>
    </reviewItem>
  </reviewItems>
  <config/>
</contractReview>
</file>

<file path=customXml/itemProps1.xml><?xml version="1.0" encoding="utf-8"?>
<ds:datastoreItem xmlns:ds="http://schemas.openxmlformats.org/officeDocument/2006/customXml" ds:itemID="{1f15bbcc-d218-4483-a40b-b40c3db412d0}">
  <ds:schemaRefs/>
</ds:datastoreItem>
</file>

<file path=docProps/app.xml><?xml version="1.0" encoding="utf-8"?>
<Properties xmlns="http://schemas.openxmlformats.org/officeDocument/2006/extended-properties" xmlns:vt="http://schemas.openxmlformats.org/officeDocument/2006/docPropsVTypes">
  <Template>Normal.dotm</Template>
  <Pages>2</Pages>
  <Words>614</Words>
  <Characters>631</Characters>
  <Lines>0</Lines>
  <Paragraphs>0</Paragraphs>
  <TotalTime>4</TotalTime>
  <ScaleCrop>false</ScaleCrop>
  <LinksUpToDate>false</LinksUpToDate>
  <CharactersWithSpaces>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2025-12-03T02:16:00Z</dcterms:created>
  <dc:creator>不要追猫不要追猫</dc:creator>
  <cp:lastModifiedBy>CrazyZoo</cp:lastModifiedBy>
  <dcterms:modified xsi:type="dcterms:W3CDTF">2025-12-08T09:26:33Z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901A587A298F475599FB6651D43470D4_13</vt:lpwstr>
  </property>
  <property fmtid="{D5CDD505-2E9C-101B-9397-08002B2CF9AE}" pid="4" name="KSOTemplateDocerSaveRecord">
    <vt:lpwstr>eyJoZGlkIjoiZDVlZWIzYWE3MDkxM2ExNjVjMmYxZTlhMmQ1OTdiOGIiLCJ1c2VySWQiOiIxMzk3Mzk1Mzg1In0=</vt:lpwstr>
  </property>
</Properties>
</file>