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rPr>
      </w:pPr>
      <w:r>
        <w:t>202</w:t>
      </w:r>
      <w:r>
        <w:rPr>
          <w:rFonts w:hint="eastAsia"/>
          <w:lang w:val="en-US" w:eastAsia="zh-CN"/>
        </w:rPr>
        <w:t>5</w:t>
      </w:r>
      <w:r>
        <w:t>年光泽县县属国有企业专岗招聘</w:t>
      </w:r>
    </w:p>
    <w:p>
      <w:pPr>
        <w:pStyle w:val="2"/>
        <w:rPr>
          <w:rFonts w:hint="default"/>
        </w:rPr>
      </w:pPr>
      <w:r>
        <w:t>退役军人公告</w:t>
      </w:r>
    </w:p>
    <w:p>
      <w:pPr>
        <w:spacing w:line="560" w:lineRule="exact"/>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关于加强光泽县退役军人培养使用支持的十条措施（试行）》，推动全县退役军人充分就业，利用好退役军人人才资源，为光泽经济社会发展助力，经研究决定，采取“面试+考核”的方式，面向全县公开招聘县属国有企业退役军人专岗工作人员。现将有关事项公告如下：</w:t>
      </w:r>
    </w:p>
    <w:p>
      <w:pPr>
        <w:pStyle w:val="3"/>
        <w:ind w:firstLine="640" w:firstLineChars="200"/>
      </w:pPr>
      <w:r>
        <w:rPr>
          <w:rFonts w:hint="eastAsia"/>
        </w:rPr>
        <w:t>一、招考职位和人数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本次专岗招聘退役军人，由光泽县县属国有企业福建光泽红杉产业投资集团发展有限公司设置管理岗位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p>
    <w:p>
      <w:pPr>
        <w:pStyle w:val="3"/>
        <w:ind w:firstLine="640" w:firstLineChars="200"/>
      </w:pPr>
      <w:r>
        <w:rPr>
          <w:rFonts w:hint="eastAsia"/>
        </w:rPr>
        <w:t>二、招考条件</w:t>
      </w:r>
    </w:p>
    <w:p>
      <w:pPr>
        <w:pStyle w:val="4"/>
        <w:ind w:firstLine="643"/>
      </w:pPr>
      <w:r>
        <w:rPr>
          <w:rFonts w:hint="eastAsia"/>
        </w:rPr>
        <w:t>（一）招聘对象和条件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1.遵守中华人民共和国宪法、法律、法规。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2.品行端正，作风正派，乐于服务企业及人民群众，责任心、事业心强，有一定的语言表达和沟通能力，掌握计算机的基本操作和应用，能够运用计算机办公软件。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3.光泽县户籍的退役军人、光泽县应征入伍的退役军人。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4.具有大专及以上学历，专业要求不限。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5.年龄在18周岁以上3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周岁（含）以下（在19</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月-200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月期间出生)。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6.身体健康、体格健全、口齿清楚，能够胜任工作，身体状况符合公务员考录规定的体检要求。</w:t>
      </w:r>
    </w:p>
    <w:p>
      <w:pPr>
        <w:pStyle w:val="4"/>
        <w:ind w:firstLine="643"/>
        <w:rPr>
          <w:rFonts w:ascii="仿宋_GB2312" w:hAnsi="仿宋_GB2312" w:eastAsia="仿宋_GB2312" w:cs="仿宋_GB2312"/>
          <w:szCs w:val="32"/>
        </w:rPr>
      </w:pPr>
      <w:r>
        <w:rPr>
          <w:rFonts w:hint="eastAsia"/>
        </w:rPr>
        <w:t>（二）报名对象有下列情形之一的不得报名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1.曾因犯罪受过刑事处罚或曾被开除公职、列为失信被执行人的人员。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2.在各级公务员招考和事业单位公开招聘考试中被认定有舞弊等严重违反录用（招聘）纪律，尚在禁止报名期限内的人员。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3.现役军人。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4.法律法规规定不得报名的其他情形的人员。</w:t>
      </w:r>
    </w:p>
    <w:p>
      <w:pPr>
        <w:pStyle w:val="3"/>
        <w:ind w:firstLine="640" w:firstLineChars="200"/>
      </w:pPr>
      <w:r>
        <w:rPr>
          <w:rFonts w:hint="eastAsia"/>
        </w:rPr>
        <w:t>三、报名办法及要求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本次考试采取现场报名的方式进行。</w:t>
      </w:r>
    </w:p>
    <w:p>
      <w:pPr>
        <w:pStyle w:val="4"/>
        <w:ind w:firstLine="643"/>
      </w:pPr>
      <w:r>
        <w:rPr>
          <w:rFonts w:hint="eastAsia"/>
        </w:rPr>
        <w:t>（一）报名时间、地点及材料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（正常工作日8:00—12:00,14:30—17:30）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县退役军人服务中心（217路242-2号），联系人：元先生，联系电话：0599-6976778。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3.报名所需材料：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（1）退役军人证、居民身份证及户口簿原件复印件；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（2）学历证书的原件及复印件（统一A4纸张），须附学信网（http://www.chsi.com.cn/）上查询认证的打印件（学历证书电子注册备案表）；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（3）填报《202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年光泽县专岗招聘退役军人报名表》1份。（见附件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可自行下载打印或到县退役军人</w:t>
      </w:r>
      <w:r>
        <w:rPr>
          <w:rFonts w:hint="eastAsia" w:ascii="仿宋_GB2312" w:hAnsi="仿宋_GB2312" w:eastAsia="仿宋_GB2312" w:cs="仿宋_GB2312"/>
          <w:sz w:val="32"/>
          <w:szCs w:val="32"/>
          <w:lang w:eastAsia="zh-CN"/>
        </w:rPr>
        <w:t>服务中心</w:t>
      </w:r>
      <w:r>
        <w:rPr>
          <w:rFonts w:hint="eastAsia" w:ascii="仿宋_GB2312" w:hAnsi="仿宋_GB2312" w:eastAsia="仿宋_GB2312" w:cs="仿宋_GB2312"/>
          <w:sz w:val="32"/>
          <w:szCs w:val="32"/>
        </w:rPr>
        <w:t>现场领取）；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（4）近期白底免冠1寸彩照2张；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（5）符合加分规定的退役军人需提供相关证书或档案材料复印件（加盖档案保管单位公章）1份。</w:t>
      </w:r>
    </w:p>
    <w:p>
      <w:pPr>
        <w:pStyle w:val="4"/>
        <w:ind w:firstLine="643"/>
      </w:pPr>
      <w:r>
        <w:rPr>
          <w:rFonts w:hint="eastAsia"/>
        </w:rPr>
        <w:t>（二）资格审查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报名者需提供以下证明材料：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1.户籍所在地派出所无违法犯罪证明（见附件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2.失信被执行查询情况证明（见附件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由县民政和人力资源社会保障局工作人员对报名者报名条件进行初步审查。面试前，县民政和人力资源社会保障局与用人单位将对拟参加面试人员的报名资格条件进行复核。</w:t>
      </w:r>
    </w:p>
    <w:p>
      <w:pPr>
        <w:pStyle w:val="4"/>
        <w:ind w:firstLine="643"/>
      </w:pPr>
      <w:r>
        <w:rPr>
          <w:rFonts w:hint="eastAsia"/>
        </w:rPr>
        <w:t>（三）注意事项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报名人员应对所提交信息和材料的真实性负责，凡弄虚作假的，一经查实，即取消面试资格或聘用资格，且不得再次参加光泽县退役军人专岗招考。</w:t>
      </w:r>
    </w:p>
    <w:p>
      <w:pPr>
        <w:pStyle w:val="4"/>
        <w:numPr>
          <w:ilvl w:val="0"/>
          <w:numId w:val="1"/>
        </w:numPr>
        <w:ind w:firstLine="643"/>
      </w:pPr>
      <w:r>
        <w:rPr>
          <w:rFonts w:hint="eastAsia"/>
        </w:rPr>
        <w:t>加分项目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1.兵龄：两年以上（含两年）每多服役一年加0.</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分，封顶</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四有优秀个人：加0</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分，封顶0</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.个人三等</w:t>
      </w:r>
      <w:r>
        <w:rPr>
          <w:rFonts w:hint="eastAsia" w:ascii="仿宋_GB2312" w:hAnsi="仿宋_GB2312" w:eastAsia="仿宋_GB2312" w:cs="仿宋_GB2312"/>
          <w:sz w:val="32"/>
          <w:szCs w:val="32"/>
          <w:lang w:eastAsia="zh-CN"/>
        </w:rPr>
        <w:t>功</w:t>
      </w:r>
      <w:r>
        <w:rPr>
          <w:rFonts w:hint="eastAsia" w:ascii="仿宋_GB2312" w:hAnsi="仿宋_GB2312" w:eastAsia="仿宋_GB2312" w:cs="仿宋_GB2312"/>
          <w:sz w:val="32"/>
          <w:szCs w:val="32"/>
        </w:rPr>
        <w:t>：加0</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.个人二等功及以上：加</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5.加入县民兵组织一年以上，表现积极的。其中：基干民兵队员加0.1分，基干民兵骨干加0.2分，基干民兵干部加0.3分。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6.有县级以上武装或征兵工作机构工作经历加0.1分，工作两年以上加0.2分；基干民兵获得县级以上武装工作相关通报表扬或比武竞赛名次加0.1分，封顶0.3分。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以上加分项与军队服役相关的需提供相关证明材料，由县双拥办负责审核，加分累计不超过</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分，报名结束后，加分情况将在中国光泽网公示5个工作日。</w:t>
      </w:r>
    </w:p>
    <w:p>
      <w:pPr>
        <w:pStyle w:val="3"/>
        <w:ind w:firstLine="640" w:firstLineChars="200"/>
      </w:pPr>
      <w:r>
        <w:rPr>
          <w:rFonts w:hint="eastAsia"/>
        </w:rPr>
        <w:t>四、面试</w:t>
      </w:r>
    </w:p>
    <w:p>
      <w:pPr>
        <w:spacing w:line="560" w:lineRule="exact"/>
        <w:ind w:firstLine="643" w:firstLineChars="200"/>
        <w:rPr>
          <w:rFonts w:ascii="仿宋_GB2312" w:hAnsi="仿宋_GB2312" w:eastAsia="仿宋_GB2312" w:cs="仿宋_GB2312"/>
          <w:sz w:val="32"/>
          <w:szCs w:val="32"/>
        </w:rPr>
      </w:pPr>
      <w:r>
        <w:rPr>
          <w:rStyle w:val="11"/>
          <w:rFonts w:hint="eastAsia"/>
        </w:rPr>
        <w:t>（一）</w:t>
      </w:r>
      <w:r>
        <w:rPr>
          <w:rFonts w:hint="eastAsia" w:ascii="仿宋_GB2312" w:hAnsi="仿宋_GB2312" w:eastAsia="仿宋_GB2312" w:cs="仿宋_GB2312"/>
          <w:sz w:val="32"/>
          <w:szCs w:val="32"/>
        </w:rPr>
        <w:t>进入面试的退役军人名单和面试的时间、地点由县民政和人力资源社会保障局工作人员另行通知。进入面试环节的退役军人由于各种原因未参加面试，视同放弃资格。</w:t>
      </w:r>
    </w:p>
    <w:p>
      <w:pPr>
        <w:spacing w:line="560" w:lineRule="exact"/>
        <w:ind w:firstLine="643" w:firstLineChars="200"/>
        <w:rPr>
          <w:rFonts w:ascii="仿宋_GB2312" w:hAnsi="仿宋_GB2312" w:eastAsia="仿宋_GB2312" w:cs="仿宋_GB2312"/>
          <w:sz w:val="32"/>
          <w:szCs w:val="32"/>
        </w:rPr>
      </w:pPr>
      <w:r>
        <w:rPr>
          <w:rStyle w:val="11"/>
          <w:rFonts w:hint="eastAsia"/>
        </w:rPr>
        <w:t>（二）成绩查询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面试总分为100分，面试后总成绩（含加分项）在光泽县人民政府网站上公布，同时县民政人社局做好相关公示。</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（光泽县人民政府网：http://www.guangze.gov.cn/）</w:t>
      </w:r>
    </w:p>
    <w:p>
      <w:pPr>
        <w:pStyle w:val="3"/>
        <w:ind w:firstLine="640" w:firstLineChars="200"/>
      </w:pPr>
      <w:r>
        <w:rPr>
          <w:rFonts w:hint="eastAsia"/>
        </w:rPr>
        <w:t>五、政审考察、体检和聘用</w:t>
      </w:r>
    </w:p>
    <w:p>
      <w:pPr>
        <w:spacing w:line="560" w:lineRule="exact"/>
        <w:ind w:firstLine="643" w:firstLineChars="200"/>
        <w:rPr>
          <w:rFonts w:ascii="仿宋_GB2312" w:hAnsi="仿宋_GB2312" w:eastAsia="仿宋_GB2312" w:cs="仿宋_GB2312"/>
          <w:sz w:val="32"/>
          <w:szCs w:val="32"/>
        </w:rPr>
      </w:pPr>
      <w:r>
        <w:rPr>
          <w:rStyle w:val="11"/>
          <w:rFonts w:hint="eastAsia"/>
        </w:rPr>
        <w:t>（一）</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县人武部</w:t>
      </w:r>
      <w:r>
        <w:rPr>
          <w:rFonts w:hint="eastAsia" w:ascii="仿宋_GB2312" w:hAnsi="仿宋_GB2312" w:eastAsia="仿宋_GB2312" w:cs="仿宋_GB2312"/>
          <w:sz w:val="32"/>
          <w:szCs w:val="32"/>
        </w:rPr>
        <w:t>、红杉集团派员组成考核组，对入围考生进行政审考核。</w:t>
      </w:r>
    </w:p>
    <w:p>
      <w:pPr>
        <w:spacing w:line="560" w:lineRule="exact"/>
        <w:ind w:firstLine="643" w:firstLineChars="200"/>
        <w:rPr>
          <w:rFonts w:ascii="仿宋_GB2312" w:hAnsi="仿宋_GB2312" w:eastAsia="仿宋_GB2312" w:cs="仿宋_GB2312"/>
          <w:sz w:val="32"/>
          <w:szCs w:val="32"/>
        </w:rPr>
      </w:pPr>
      <w:r>
        <w:rPr>
          <w:rStyle w:val="11"/>
          <w:rFonts w:hint="eastAsia"/>
        </w:rPr>
        <w:t>（二）</w:t>
      </w:r>
      <w:r>
        <w:rPr>
          <w:rFonts w:hint="eastAsia" w:ascii="仿宋_GB2312" w:hAnsi="仿宋_GB2312" w:eastAsia="仿宋_GB2312" w:cs="仿宋_GB2312"/>
          <w:sz w:val="32"/>
          <w:szCs w:val="32"/>
        </w:rPr>
        <w:t>体检人选的确定。按照招考人数1:1的比例，总成绩排名情况，从高分到低分依次确定体检人选。体检标准参照《公务员录用体检通用标准（试行）》执行，体检相关费用由退役军人自行承担。退役军人对体检结论如有疑议，可以复检一次，并在一周内提出申请。复检必须到指定医院，以复检的结论为准。</w:t>
      </w:r>
    </w:p>
    <w:p>
      <w:pPr>
        <w:spacing w:line="560" w:lineRule="exact"/>
        <w:ind w:firstLine="643" w:firstLineChars="200"/>
        <w:rPr>
          <w:rFonts w:ascii="仿宋_GB2312" w:hAnsi="仿宋_GB2312" w:eastAsia="仿宋_GB2312" w:cs="仿宋_GB2312"/>
          <w:sz w:val="32"/>
          <w:szCs w:val="32"/>
        </w:rPr>
      </w:pPr>
      <w:r>
        <w:rPr>
          <w:rStyle w:val="11"/>
          <w:rFonts w:hint="eastAsia"/>
        </w:rPr>
        <w:t>（三）</w:t>
      </w:r>
      <w:r>
        <w:rPr>
          <w:rFonts w:hint="eastAsia" w:ascii="仿宋_GB2312" w:hAnsi="仿宋_GB2312" w:eastAsia="仿宋_GB2312" w:cs="仿宋_GB2312"/>
          <w:sz w:val="32"/>
          <w:szCs w:val="32"/>
        </w:rPr>
        <w:t>未在规定的时间参加体检的，视为自动放弃。凡在体检中弄虚作假或者隐瞒真实情况的，取消聘用资格。</w:t>
      </w:r>
    </w:p>
    <w:p>
      <w:pPr>
        <w:spacing w:line="560" w:lineRule="exact"/>
        <w:ind w:firstLine="643" w:firstLineChars="200"/>
        <w:rPr>
          <w:rFonts w:ascii="仿宋_GB2312" w:hAnsi="仿宋_GB2312" w:eastAsia="仿宋_GB2312" w:cs="仿宋_GB2312"/>
          <w:sz w:val="32"/>
          <w:szCs w:val="32"/>
        </w:rPr>
      </w:pPr>
      <w:r>
        <w:rPr>
          <w:rStyle w:val="11"/>
          <w:rFonts w:hint="eastAsia"/>
        </w:rPr>
        <w:t>（四）</w:t>
      </w:r>
      <w:r>
        <w:rPr>
          <w:rFonts w:hint="eastAsia" w:ascii="仿宋_GB2312" w:hAnsi="仿宋_GB2312" w:eastAsia="仿宋_GB2312" w:cs="仿宋_GB2312"/>
          <w:sz w:val="32"/>
          <w:szCs w:val="32"/>
        </w:rPr>
        <w:t>因体检、考察不合格而造成招聘岗位空缺的，从面试最终成绩由高分到低分确定递补人选。</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Style w:val="11"/>
          <w:rFonts w:hint="eastAsia"/>
        </w:rPr>
        <w:t xml:space="preserve"> </w:t>
      </w:r>
      <w:r>
        <w:rPr>
          <w:rStyle w:val="11"/>
          <w:rFonts w:hint="eastAsia" w:cs="Times New Roman"/>
        </w:rPr>
        <w:t>（五）</w:t>
      </w:r>
      <w:r>
        <w:rPr>
          <w:rFonts w:hint="eastAsia" w:ascii="仿宋_GB2312" w:hAnsi="仿宋_GB2312" w:eastAsia="仿宋_GB2312" w:cs="仿宋_GB2312"/>
          <w:sz w:val="32"/>
          <w:szCs w:val="32"/>
        </w:rPr>
        <w:t>体检合格者拟聘用人员名单在中国光泽网站公示5个工作日，没有发现影响聘用情形的，由县退役军人服务中心工作人员通知被聘用人员在指定时间内到用人单位报到上班，并报县民政人社局备案。</w:t>
      </w:r>
    </w:p>
    <w:p>
      <w:pPr>
        <w:spacing w:line="560" w:lineRule="exact"/>
        <w:ind w:firstLine="643" w:firstLineChars="200"/>
        <w:rPr>
          <w:rFonts w:ascii="仿宋_GB2312" w:hAnsi="仿宋_GB2312" w:eastAsia="仿宋_GB2312" w:cs="仿宋_GB2312"/>
          <w:sz w:val="32"/>
          <w:szCs w:val="32"/>
        </w:rPr>
      </w:pPr>
      <w:r>
        <w:rPr>
          <w:rStyle w:val="11"/>
          <w:rFonts w:hint="eastAsia"/>
        </w:rPr>
        <w:t>（六）</w:t>
      </w:r>
      <w:r>
        <w:rPr>
          <w:rFonts w:hint="eastAsia" w:ascii="仿宋_GB2312" w:hAnsi="仿宋_GB2312" w:eastAsia="仿宋_GB2312" w:cs="仿宋_GB2312"/>
          <w:sz w:val="32"/>
          <w:szCs w:val="32"/>
        </w:rPr>
        <w:t>聘用人员由用人单位办理试用手续，试用期三个月。试用期满，经考核称职，由用人单位与聘用人员办理相关手续并签订劳动合同，试用期在劳动合同期限内。</w:t>
      </w:r>
    </w:p>
    <w:p>
      <w:pPr>
        <w:spacing w:line="560" w:lineRule="exact"/>
        <w:ind w:firstLine="643" w:firstLineChars="200"/>
        <w:rPr>
          <w:rFonts w:ascii="仿宋_GB2312" w:hAnsi="仿宋_GB2312" w:eastAsia="仿宋_GB2312" w:cs="仿宋_GB2312"/>
          <w:sz w:val="32"/>
          <w:szCs w:val="32"/>
        </w:rPr>
      </w:pPr>
      <w:r>
        <w:rPr>
          <w:rStyle w:val="11"/>
          <w:rFonts w:hint="eastAsia" w:cs="Times New Roman"/>
        </w:rPr>
        <w:t>（七）</w:t>
      </w:r>
      <w:r>
        <w:rPr>
          <w:rFonts w:hint="eastAsia" w:ascii="仿宋_GB2312" w:hAnsi="仿宋_GB2312" w:eastAsia="仿宋_GB2312" w:cs="仿宋_GB2312"/>
          <w:sz w:val="32"/>
          <w:szCs w:val="32"/>
        </w:rPr>
        <w:t>如聘用人员在接到聘用通知三天内未报到的，视为自动放弃，并取消聘用资格，空缺岗位从总成绩由高到低顺序依次递补。</w:t>
      </w:r>
    </w:p>
    <w:p>
      <w:pPr>
        <w:pStyle w:val="3"/>
        <w:ind w:firstLine="640" w:firstLineChars="200"/>
      </w:pPr>
      <w:r>
        <w:rPr>
          <w:rFonts w:hint="eastAsia"/>
        </w:rPr>
        <w:t>六、薪资待遇</w:t>
      </w:r>
    </w:p>
    <w:p>
      <w:pPr>
        <w:spacing w:line="560" w:lineRule="exact"/>
        <w:ind w:firstLine="643" w:firstLineChars="200"/>
        <w:rPr>
          <w:rFonts w:ascii="仿宋_GB2312" w:hAnsi="仿宋_GB2312" w:eastAsia="仿宋_GB2312" w:cs="仿宋_GB2312"/>
          <w:sz w:val="32"/>
          <w:szCs w:val="32"/>
        </w:rPr>
      </w:pPr>
      <w:r>
        <w:rPr>
          <w:rStyle w:val="11"/>
          <w:rFonts w:hint="eastAsia"/>
        </w:rPr>
        <w:t>（一）</w:t>
      </w:r>
      <w:r>
        <w:rPr>
          <w:rFonts w:hint="eastAsia" w:ascii="仿宋_GB2312" w:hAnsi="仿宋_GB2312" w:eastAsia="仿宋_GB2312" w:cs="仿宋_GB2312"/>
          <w:sz w:val="32"/>
          <w:szCs w:val="32"/>
        </w:rPr>
        <w:t>本次专岗招聘退役军人录用后，其薪资待遇参照光泽县人民政府专题会议纪要《关于研究2020年公开招聘国企工作人员工资待遇等有关问题会议纪要》（[2020]24）号；《中共光泽县第十四届委员会会议纪要（[2022]14）号》文件执行，具体工资、奖金待遇按照以下标准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1.工资、“五险一金”由招聘的国企统一发放、缴纳及办理，工龄从劳动合同签订之日起计算，第一年执行试用期（含试用期）工资即专业见习待遇（专科2583元/月、本科2703元/月，不含奖励性绩效，下同）；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2.工作时间满一年且考核合格的，次月起按转正待遇执行，其中专科毕业和非全日制本科毕业执行专技十三级待遇（专科 2802元/月，本科2869元/月），全日制本科及以上学历执行专技十二级待遇（3156元/月）；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转正定级后，工资、奖金待遇参照事业单位编制内人员政策同步调整，当年考核合格的，从次年1月起提高一薪档，奖励性绩效等年终项目参照事业单位工作人员的标准执行，由民政人社局测算总量年终以绩效奖形式发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4.以上标准随事业单位工作人员工资标准调整而调整，奖惩管理参照事业单位工作人员办法执行。</w:t>
      </w:r>
    </w:p>
    <w:p>
      <w:pPr>
        <w:spacing w:line="560" w:lineRule="exact"/>
        <w:ind w:firstLine="643" w:firstLineChars="200"/>
        <w:rPr>
          <w:rFonts w:ascii="仿宋_GB2312" w:hAnsi="仿宋_GB2312" w:eastAsia="仿宋_GB2312" w:cs="仿宋_GB2312"/>
          <w:sz w:val="32"/>
          <w:szCs w:val="32"/>
        </w:rPr>
      </w:pPr>
      <w:r>
        <w:rPr>
          <w:rStyle w:val="11"/>
          <w:rFonts w:hint="eastAsia"/>
        </w:rPr>
        <w:t>（二）</w:t>
      </w:r>
      <w:r>
        <w:rPr>
          <w:rFonts w:hint="eastAsia" w:ascii="仿宋_GB2312" w:hAnsi="仿宋_GB2312" w:eastAsia="仿宋_GB2312" w:cs="仿宋_GB2312"/>
          <w:sz w:val="32"/>
          <w:szCs w:val="32"/>
        </w:rPr>
        <w:t>根据《中华人民共和国兵役法》有关规定：军人服役年限计算为工龄，退出现役后可与所在单位工作年限累计计算，但不视做试用期工龄。</w:t>
      </w:r>
    </w:p>
    <w:p>
      <w:pPr>
        <w:pStyle w:val="3"/>
        <w:ind w:firstLine="640" w:firstLineChars="200"/>
      </w:pPr>
      <w:r>
        <w:rPr>
          <w:rFonts w:hint="eastAsia"/>
        </w:rPr>
        <w:t>七、其他注意事项</w:t>
      </w:r>
    </w:p>
    <w:p>
      <w:pPr>
        <w:spacing w:line="560" w:lineRule="exact"/>
        <w:ind w:firstLine="643" w:firstLineChars="200"/>
        <w:rPr>
          <w:rFonts w:ascii="仿宋_GB2312" w:hAnsi="仿宋_GB2312" w:eastAsia="仿宋_GB2312" w:cs="仿宋_GB2312"/>
          <w:sz w:val="32"/>
          <w:szCs w:val="32"/>
        </w:rPr>
      </w:pPr>
      <w:r>
        <w:rPr>
          <w:rStyle w:val="11"/>
          <w:rFonts w:hint="eastAsia"/>
        </w:rPr>
        <w:t>（一）</w:t>
      </w:r>
      <w:r>
        <w:rPr>
          <w:rFonts w:hint="eastAsia" w:ascii="仿宋_GB2312" w:hAnsi="仿宋_GB2312" w:eastAsia="仿宋_GB2312" w:cs="仿宋_GB2312"/>
          <w:sz w:val="32"/>
          <w:szCs w:val="32"/>
        </w:rPr>
        <w:t>县民政和人力资源社会保障局牵头，县</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装部等相关部门具体负责组织报名、资格审查、体检等相关工作。</w:t>
      </w:r>
    </w:p>
    <w:p>
      <w:pPr>
        <w:spacing w:line="560" w:lineRule="exact"/>
        <w:ind w:firstLine="643" w:firstLineChars="200"/>
        <w:rPr>
          <w:rFonts w:ascii="仿宋_GB2312" w:hAnsi="仿宋_GB2312" w:eastAsia="仿宋_GB2312" w:cs="仿宋_GB2312"/>
          <w:sz w:val="32"/>
          <w:szCs w:val="32"/>
        </w:rPr>
      </w:pPr>
      <w:r>
        <w:rPr>
          <w:rStyle w:val="11"/>
          <w:rFonts w:hint="eastAsia"/>
        </w:rPr>
        <w:t>（二）</w:t>
      </w:r>
      <w:r>
        <w:rPr>
          <w:rFonts w:hint="eastAsia" w:ascii="仿宋_GB2312" w:hAnsi="仿宋_GB2312" w:eastAsia="仿宋_GB2312" w:cs="仿宋_GB2312"/>
          <w:sz w:val="32"/>
          <w:szCs w:val="32"/>
        </w:rPr>
        <w:t>本次招聘面试工作由县民政人社局具体负责，</w:t>
      </w:r>
      <w:r>
        <w:rPr>
          <w:rFonts w:hint="eastAsia" w:ascii="仿宋_GB2312" w:hAnsi="仿宋_GB2312" w:eastAsia="仿宋_GB2312" w:cs="仿宋_GB2312"/>
          <w:sz w:val="32"/>
          <w:szCs w:val="32"/>
          <w:lang w:eastAsia="zh-CN"/>
        </w:rPr>
        <w:t>县人武部</w:t>
      </w:r>
      <w:r>
        <w:rPr>
          <w:rFonts w:hint="eastAsia" w:ascii="仿宋_GB2312" w:hAnsi="仿宋_GB2312" w:eastAsia="仿宋_GB2312" w:cs="仿宋_GB2312"/>
          <w:sz w:val="32"/>
          <w:szCs w:val="32"/>
        </w:rPr>
        <w:t>派员参加。</w:t>
      </w:r>
    </w:p>
    <w:p>
      <w:pPr>
        <w:spacing w:line="560" w:lineRule="exact"/>
        <w:ind w:firstLine="643" w:firstLineChars="200"/>
        <w:rPr>
          <w:rFonts w:ascii="仿宋_GB2312" w:hAnsi="仿宋_GB2312" w:eastAsia="仿宋_GB2312" w:cs="仿宋_GB2312"/>
          <w:sz w:val="32"/>
          <w:szCs w:val="32"/>
        </w:rPr>
      </w:pPr>
      <w:r>
        <w:rPr>
          <w:rStyle w:val="11"/>
          <w:rFonts w:hint="eastAsia"/>
        </w:rPr>
        <w:t>（三）</w:t>
      </w:r>
      <w:r>
        <w:rPr>
          <w:rFonts w:hint="eastAsia" w:ascii="仿宋_GB2312" w:hAnsi="仿宋_GB2312" w:eastAsia="仿宋_GB2312" w:cs="仿宋_GB2312"/>
          <w:sz w:val="32"/>
          <w:szCs w:val="32"/>
        </w:rPr>
        <w:t>本次招聘不举办不委托任何机构举办考试辅导培训班。</w:t>
      </w:r>
    </w:p>
    <w:p>
      <w:pPr>
        <w:spacing w:line="560" w:lineRule="exact"/>
        <w:ind w:firstLine="643" w:firstLineChars="200"/>
        <w:rPr>
          <w:rFonts w:ascii="仿宋_GB2312" w:hAnsi="仿宋_GB2312" w:eastAsia="仿宋_GB2312" w:cs="仿宋_GB2312"/>
          <w:sz w:val="32"/>
          <w:szCs w:val="32"/>
          <w:highlight w:val="yellow"/>
        </w:rPr>
      </w:pPr>
      <w:r>
        <w:rPr>
          <w:rStyle w:val="11"/>
          <w:rFonts w:hint="eastAsia"/>
        </w:rPr>
        <w:t>（四）</w:t>
      </w:r>
      <w:r>
        <w:rPr>
          <w:rFonts w:hint="eastAsia" w:ascii="仿宋_GB2312" w:hAnsi="仿宋_GB2312" w:eastAsia="仿宋_GB2312" w:cs="仿宋_GB2312"/>
          <w:sz w:val="32"/>
          <w:szCs w:val="32"/>
        </w:rPr>
        <w:t>面试后，按面试总成绩前</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名（含加分项）安排到福建光泽红杉产业投资集团发展有限公司</w:t>
      </w:r>
      <w:bookmarkStart w:id="0" w:name="_GoBack"/>
      <w:bookmarkEnd w:id="0"/>
      <w:r>
        <w:rPr>
          <w:rFonts w:hint="eastAsia" w:ascii="仿宋_GB2312" w:hAnsi="仿宋_GB2312" w:eastAsia="仿宋_GB2312" w:cs="仿宋_GB2312"/>
          <w:sz w:val="32"/>
          <w:szCs w:val="32"/>
        </w:rPr>
        <w:t>工作，具体岗位由公司自行设定。</w:t>
      </w:r>
    </w:p>
    <w:p>
      <w:pPr>
        <w:spacing w:line="560" w:lineRule="exact"/>
        <w:ind w:firstLine="643" w:firstLineChars="200"/>
        <w:rPr>
          <w:rFonts w:ascii="仿宋_GB2312" w:hAnsi="仿宋_GB2312" w:eastAsia="仿宋_GB2312" w:cs="仿宋_GB2312"/>
          <w:sz w:val="32"/>
          <w:szCs w:val="32"/>
        </w:rPr>
      </w:pPr>
      <w:r>
        <w:rPr>
          <w:rStyle w:val="11"/>
          <w:rFonts w:hint="eastAsia"/>
        </w:rPr>
        <w:t>（五）</w:t>
      </w:r>
      <w:r>
        <w:rPr>
          <w:rFonts w:hint="eastAsia" w:ascii="仿宋_GB2312" w:hAnsi="仿宋_GB2312" w:eastAsia="仿宋_GB2312" w:cs="仿宋_GB2312"/>
          <w:sz w:val="32"/>
          <w:szCs w:val="32"/>
        </w:rPr>
        <w:t>招聘人员所留的联系方式应准确无误，保持通畅，如通知上岗时无法取得联系，造成后果，责任自负。</w:t>
      </w:r>
    </w:p>
    <w:p>
      <w:pPr>
        <w:spacing w:line="560" w:lineRule="exact"/>
        <w:ind w:firstLine="643" w:firstLineChars="200"/>
        <w:rPr>
          <w:rFonts w:ascii="仿宋_GB2312" w:hAnsi="仿宋_GB2312" w:eastAsia="仿宋_GB2312" w:cs="仿宋_GB2312"/>
          <w:sz w:val="32"/>
          <w:szCs w:val="32"/>
        </w:rPr>
      </w:pPr>
      <w:r>
        <w:rPr>
          <w:rStyle w:val="11"/>
          <w:rFonts w:hint="eastAsia"/>
        </w:rPr>
        <w:t>（六）</w:t>
      </w:r>
      <w:r>
        <w:rPr>
          <w:rFonts w:hint="eastAsia" w:ascii="仿宋_GB2312" w:hAnsi="仿宋_GB2312" w:eastAsia="仿宋_GB2312" w:cs="仿宋_GB2312"/>
          <w:sz w:val="32"/>
          <w:szCs w:val="32"/>
        </w:rPr>
        <w:t>整个招聘过程按照公平、公正、公开原则进行，接受社会各界监督，监督电话：0599-8373289。</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Style w:val="11"/>
          <w:rFonts w:hint="eastAsia"/>
        </w:rPr>
        <w:t>（七）</w:t>
      </w:r>
      <w:r>
        <w:rPr>
          <w:rFonts w:hint="eastAsia" w:ascii="仿宋_GB2312" w:hAnsi="仿宋_GB2312" w:eastAsia="仿宋_GB2312" w:cs="仿宋_GB2312"/>
          <w:sz w:val="32"/>
          <w:szCs w:val="32"/>
        </w:rPr>
        <w:t>本公告由县民政和人力资源社会保障局负责解释。</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光泽县民政和人力资源社会保障局</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rPr>
          <w:rFonts w:ascii="仿宋_GB2312" w:hAnsi="仿宋_GB2312" w:eastAsia="仿宋_GB2312" w:cs="仿宋_GB2312"/>
          <w:sz w:val="32"/>
          <w:szCs w:val="32"/>
        </w:rPr>
        <w:sectPr>
          <w:footerReference r:id="rId3" w:type="default"/>
          <w:pgSz w:w="11906" w:h="16838"/>
          <w:pgMar w:top="2098" w:right="1474" w:bottom="1984" w:left="1587" w:header="851" w:footer="992" w:gutter="0"/>
          <w:cols w:space="425" w:num="1"/>
          <w:docGrid w:type="lines" w:linePitch="312" w:charSpace="0"/>
        </w:sectPr>
      </w:pPr>
    </w:p>
    <w:tbl>
      <w:tblPr>
        <w:tblStyle w:val="8"/>
        <w:tblW w:w="14810" w:type="dxa"/>
        <w:jc w:val="center"/>
        <w:tblLayout w:type="fixed"/>
        <w:tblCellMar>
          <w:top w:w="0" w:type="dxa"/>
          <w:left w:w="108" w:type="dxa"/>
          <w:bottom w:w="0" w:type="dxa"/>
          <w:right w:w="108" w:type="dxa"/>
        </w:tblCellMar>
      </w:tblPr>
      <w:tblGrid>
        <w:gridCol w:w="1245"/>
        <w:gridCol w:w="570"/>
        <w:gridCol w:w="791"/>
        <w:gridCol w:w="738"/>
        <w:gridCol w:w="910"/>
        <w:gridCol w:w="530"/>
        <w:gridCol w:w="493"/>
        <w:gridCol w:w="801"/>
        <w:gridCol w:w="802"/>
        <w:gridCol w:w="801"/>
        <w:gridCol w:w="760"/>
        <w:gridCol w:w="1603"/>
        <w:gridCol w:w="801"/>
        <w:gridCol w:w="946"/>
        <w:gridCol w:w="1692"/>
        <w:gridCol w:w="1327"/>
      </w:tblGrid>
      <w:tr>
        <w:tblPrEx>
          <w:tblCellMar>
            <w:top w:w="0" w:type="dxa"/>
            <w:left w:w="108" w:type="dxa"/>
            <w:bottom w:w="0" w:type="dxa"/>
            <w:right w:w="108" w:type="dxa"/>
          </w:tblCellMar>
        </w:tblPrEx>
        <w:trPr>
          <w:trHeight w:val="375" w:hRule="atLeast"/>
          <w:jc w:val="center"/>
        </w:trPr>
        <w:tc>
          <w:tcPr>
            <w:tcW w:w="1815" w:type="dxa"/>
            <w:gridSpan w:val="2"/>
            <w:tcBorders>
              <w:top w:val="nil"/>
              <w:left w:val="nil"/>
              <w:bottom w:val="nil"/>
              <w:right w:val="nil"/>
            </w:tcBorders>
            <w:shd w:val="clear" w:color="auto" w:fill="auto"/>
            <w:noWrap/>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附件1</w:t>
            </w:r>
          </w:p>
        </w:tc>
        <w:tc>
          <w:tcPr>
            <w:tcW w:w="791" w:type="dxa"/>
            <w:tcBorders>
              <w:top w:val="nil"/>
              <w:left w:val="nil"/>
              <w:bottom w:val="nil"/>
              <w:right w:val="nil"/>
            </w:tcBorders>
            <w:shd w:val="clear" w:color="auto" w:fill="auto"/>
            <w:vAlign w:val="center"/>
          </w:tcPr>
          <w:p>
            <w:pPr>
              <w:rPr>
                <w:rFonts w:ascii="宋体" w:hAnsi="宋体" w:eastAsia="宋体" w:cs="宋体"/>
                <w:color w:val="000000"/>
                <w:sz w:val="24"/>
              </w:rPr>
            </w:pPr>
          </w:p>
        </w:tc>
        <w:tc>
          <w:tcPr>
            <w:tcW w:w="738"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910"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530"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493"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801"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802"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801"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760"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1603"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801"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946"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1692"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c>
          <w:tcPr>
            <w:tcW w:w="1327" w:type="dxa"/>
            <w:tcBorders>
              <w:top w:val="nil"/>
              <w:left w:val="nil"/>
              <w:bottom w:val="nil"/>
              <w:right w:val="nil"/>
            </w:tcBorders>
            <w:shd w:val="clear" w:color="auto" w:fill="auto"/>
            <w:noWrap/>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1380" w:hRule="atLeast"/>
          <w:jc w:val="center"/>
        </w:trPr>
        <w:tc>
          <w:tcPr>
            <w:tcW w:w="14810" w:type="dxa"/>
            <w:gridSpan w:val="16"/>
            <w:tcBorders>
              <w:top w:val="nil"/>
              <w:left w:val="nil"/>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36"/>
                <w:szCs w:val="36"/>
              </w:rPr>
            </w:pPr>
            <w:r>
              <w:rPr>
                <w:rFonts w:hint="eastAsia" w:ascii="宋体" w:hAnsi="宋体" w:eastAsia="方正小标宋简体" w:cs="宋体"/>
                <w:kern w:val="44"/>
                <w:sz w:val="44"/>
                <w:szCs w:val="48"/>
                <w:lang w:bidi="ar"/>
              </w:rPr>
              <w:t>202</w:t>
            </w:r>
            <w:r>
              <w:rPr>
                <w:rFonts w:hint="eastAsia" w:ascii="宋体" w:hAnsi="宋体" w:eastAsia="方正小标宋简体" w:cs="宋体"/>
                <w:kern w:val="44"/>
                <w:sz w:val="44"/>
                <w:szCs w:val="48"/>
                <w:lang w:val="en-US" w:eastAsia="zh-CN" w:bidi="ar"/>
              </w:rPr>
              <w:t>5</w:t>
            </w:r>
            <w:r>
              <w:rPr>
                <w:rFonts w:hint="eastAsia" w:ascii="宋体" w:hAnsi="宋体" w:eastAsia="方正小标宋简体" w:cs="宋体"/>
                <w:kern w:val="44"/>
                <w:sz w:val="44"/>
                <w:szCs w:val="48"/>
                <w:lang w:bidi="ar"/>
              </w:rPr>
              <w:t>年光泽县县属国有企业专岗招聘退役军人职位一览表</w:t>
            </w:r>
          </w:p>
        </w:tc>
      </w:tr>
      <w:tr>
        <w:tblPrEx>
          <w:tblCellMar>
            <w:top w:w="0" w:type="dxa"/>
            <w:left w:w="108" w:type="dxa"/>
            <w:bottom w:w="0" w:type="dxa"/>
            <w:right w:w="108" w:type="dxa"/>
          </w:tblCellMar>
        </w:tblPrEx>
        <w:trPr>
          <w:trHeight w:val="132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招聘单位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岗位代码</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岗位名称</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招聘人数</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最高年龄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性别</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户籍</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学历类别</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学历要求</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学位要求</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专业要求</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其他条件</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考试形式</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联系人</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联系电话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27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福建光泽红杉产业投资集团发展有限公司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职员</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kern w:val="0"/>
                <w:sz w:val="24"/>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18-3</w:t>
            </w:r>
            <w:r>
              <w:rPr>
                <w:rFonts w:hint="eastAsia" w:ascii="仿宋_GB2312" w:hAnsi="仿宋_GB2312" w:eastAsia="仿宋_GB2312" w:cs="仿宋_GB2312"/>
                <w:color w:val="000000"/>
                <w:kern w:val="0"/>
                <w:sz w:val="24"/>
                <w:lang w:val="en-US" w:eastAsia="zh-CN" w:bidi="ar"/>
              </w:rPr>
              <w:t>8</w:t>
            </w:r>
            <w:r>
              <w:rPr>
                <w:rFonts w:hint="eastAsia" w:ascii="仿宋_GB2312" w:hAnsi="仿宋_GB2312" w:eastAsia="仿宋_GB2312" w:cs="仿宋_GB2312"/>
                <w:color w:val="000000"/>
                <w:kern w:val="0"/>
                <w:sz w:val="24"/>
                <w:lang w:bidi="ar"/>
              </w:rPr>
              <w:t>周岁</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不限</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不限</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不限</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大专及以上</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不限</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不限</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光泽县户籍的退役军人或由光泽县应征入伍的退役军人</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面试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元先生</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0599-6976778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退役军人专岗</w:t>
            </w:r>
          </w:p>
        </w:tc>
      </w:tr>
    </w:tbl>
    <w:p>
      <w:pPr>
        <w:spacing w:line="560" w:lineRule="exact"/>
        <w:rPr>
          <w:rFonts w:ascii="仿宋_GB2312" w:hAnsi="仿宋_GB2312" w:eastAsia="仿宋_GB2312" w:cs="仿宋_GB2312"/>
          <w:sz w:val="32"/>
          <w:szCs w:val="32"/>
        </w:rPr>
        <w:sectPr>
          <w:pgSz w:w="16838" w:h="11906" w:orient="landscape"/>
          <w:pgMar w:top="1587" w:right="0" w:bottom="1474" w:left="0" w:header="851" w:footer="992" w:gutter="0"/>
          <w:cols w:space="425" w:num="1"/>
          <w:docGrid w:type="lines" w:linePitch="312" w:charSpace="0"/>
        </w:sect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pStyle w:val="2"/>
        <w:rPr>
          <w:rFonts w:hint="default"/>
        </w:rPr>
      </w:pPr>
      <w:r>
        <w:t>202</w:t>
      </w:r>
      <w:r>
        <w:rPr>
          <w:rFonts w:hint="eastAsia"/>
          <w:lang w:val="en-US" w:eastAsia="zh-CN"/>
        </w:rPr>
        <w:t>5</w:t>
      </w:r>
      <w:r>
        <w:t>年光泽县专岗招聘退役军人报名表</w:t>
      </w:r>
    </w:p>
    <w:p>
      <w:pPr>
        <w:spacing w:line="520" w:lineRule="exact"/>
        <w:rPr>
          <w:rFonts w:ascii="仿宋_GB2312" w:hAnsi="仿宋_GB2312" w:eastAsia="仿宋_GB2312" w:cs="仿宋_GB2312"/>
          <w:sz w:val="24"/>
        </w:rPr>
      </w:pPr>
      <w:r>
        <w:rPr>
          <w:rFonts w:hint="eastAsia" w:ascii="仿宋_GB2312" w:hAnsi="仿宋_GB2312" w:eastAsia="仿宋_GB2312" w:cs="仿宋_GB2312"/>
          <w:sz w:val="24"/>
        </w:rPr>
        <w:t>报名序号：</w:t>
      </w:r>
    </w:p>
    <w:tbl>
      <w:tblPr>
        <w:tblStyle w:val="8"/>
        <w:tblpPr w:leftFromText="180" w:rightFromText="180" w:vertAnchor="text" w:horzAnchor="page" w:tblpX="1210" w:tblpY="91"/>
        <w:tblOverlap w:val="never"/>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777"/>
        <w:gridCol w:w="579"/>
        <w:gridCol w:w="1387"/>
        <w:gridCol w:w="970"/>
        <w:gridCol w:w="326"/>
        <w:gridCol w:w="183"/>
        <w:gridCol w:w="1316"/>
        <w:gridCol w:w="153"/>
        <w:gridCol w:w="1274"/>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1356" w:type="dxa"/>
            <w:gridSpan w:val="2"/>
            <w:vAlign w:val="center"/>
          </w:tcPr>
          <w:p>
            <w:pPr>
              <w:spacing w:line="400" w:lineRule="exact"/>
              <w:jc w:val="center"/>
              <w:rPr>
                <w:rFonts w:ascii="仿宋_GB2312" w:hAnsi="仿宋_GB2312" w:eastAsia="仿宋_GB2312" w:cs="仿宋_GB2312"/>
                <w:sz w:val="24"/>
              </w:rPr>
            </w:pPr>
          </w:p>
        </w:tc>
        <w:tc>
          <w:tcPr>
            <w:tcW w:w="1387"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身份证号</w:t>
            </w:r>
          </w:p>
        </w:tc>
        <w:tc>
          <w:tcPr>
            <w:tcW w:w="4222" w:type="dxa"/>
            <w:gridSpan w:val="6"/>
            <w:vAlign w:val="center"/>
          </w:tcPr>
          <w:p>
            <w:pPr>
              <w:spacing w:line="400" w:lineRule="exact"/>
              <w:jc w:val="center"/>
              <w:rPr>
                <w:rFonts w:ascii="仿宋_GB2312" w:hAnsi="仿宋_GB2312" w:eastAsia="仿宋_GB2312" w:cs="仿宋_GB2312"/>
                <w:sz w:val="24"/>
              </w:rPr>
            </w:pPr>
          </w:p>
        </w:tc>
        <w:tc>
          <w:tcPr>
            <w:tcW w:w="1847" w:type="dxa"/>
            <w:vMerge w:val="restart"/>
            <w:vAlign w:val="center"/>
          </w:tcPr>
          <w:p>
            <w:pPr>
              <w:spacing w:line="400" w:lineRule="exact"/>
              <w:jc w:val="center"/>
              <w:rPr>
                <w:rFonts w:ascii="仿宋_GB2312" w:hAnsi="仿宋_GB2312" w:eastAsia="仿宋_GB2312" w:cs="仿宋_GB2312"/>
                <w:sz w:val="24"/>
              </w:rPr>
            </w:pP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贴照片</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（近期一寸彩色免冠）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1356" w:type="dxa"/>
            <w:gridSpan w:val="2"/>
            <w:vAlign w:val="center"/>
          </w:tcPr>
          <w:p>
            <w:pPr>
              <w:spacing w:line="400" w:lineRule="exact"/>
              <w:jc w:val="center"/>
              <w:rPr>
                <w:rFonts w:ascii="仿宋_GB2312" w:hAnsi="仿宋_GB2312" w:eastAsia="仿宋_GB2312" w:cs="仿宋_GB2312"/>
                <w:sz w:val="24"/>
              </w:rPr>
            </w:pPr>
          </w:p>
        </w:tc>
        <w:tc>
          <w:tcPr>
            <w:tcW w:w="1387"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民    族</w:t>
            </w:r>
          </w:p>
        </w:tc>
        <w:tc>
          <w:tcPr>
            <w:tcW w:w="1296" w:type="dxa"/>
            <w:gridSpan w:val="2"/>
            <w:vAlign w:val="center"/>
          </w:tcPr>
          <w:p>
            <w:pPr>
              <w:spacing w:line="400" w:lineRule="exact"/>
              <w:jc w:val="center"/>
              <w:rPr>
                <w:rFonts w:ascii="仿宋_GB2312" w:hAnsi="仿宋_GB2312" w:eastAsia="仿宋_GB2312" w:cs="仿宋_GB2312"/>
                <w:sz w:val="24"/>
              </w:rPr>
            </w:pPr>
          </w:p>
        </w:tc>
        <w:tc>
          <w:tcPr>
            <w:tcW w:w="1499"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1427" w:type="dxa"/>
            <w:gridSpan w:val="2"/>
            <w:vAlign w:val="center"/>
          </w:tcPr>
          <w:p>
            <w:pPr>
              <w:spacing w:line="400" w:lineRule="exact"/>
              <w:jc w:val="center"/>
              <w:rPr>
                <w:rFonts w:ascii="仿宋_GB2312" w:hAnsi="仿宋_GB2312" w:eastAsia="仿宋_GB2312" w:cs="仿宋_GB2312"/>
                <w:sz w:val="24"/>
              </w:rPr>
            </w:pPr>
          </w:p>
        </w:tc>
        <w:tc>
          <w:tcPr>
            <w:tcW w:w="1847" w:type="dxa"/>
            <w:vMerge w:val="continue"/>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  历</w:t>
            </w:r>
          </w:p>
        </w:tc>
        <w:tc>
          <w:tcPr>
            <w:tcW w:w="1356" w:type="dxa"/>
            <w:gridSpan w:val="2"/>
            <w:vAlign w:val="center"/>
          </w:tcPr>
          <w:p>
            <w:pPr>
              <w:spacing w:line="400" w:lineRule="exact"/>
              <w:jc w:val="center"/>
              <w:rPr>
                <w:rFonts w:ascii="仿宋_GB2312" w:hAnsi="仿宋_GB2312" w:eastAsia="仿宋_GB2312" w:cs="仿宋_GB2312"/>
                <w:sz w:val="24"/>
              </w:rPr>
            </w:pPr>
          </w:p>
        </w:tc>
        <w:tc>
          <w:tcPr>
            <w:tcW w:w="1387"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政治面貌</w:t>
            </w:r>
          </w:p>
        </w:tc>
        <w:tc>
          <w:tcPr>
            <w:tcW w:w="1296" w:type="dxa"/>
            <w:gridSpan w:val="2"/>
            <w:vAlign w:val="center"/>
          </w:tcPr>
          <w:p>
            <w:pPr>
              <w:spacing w:line="400" w:lineRule="exact"/>
              <w:jc w:val="center"/>
              <w:rPr>
                <w:rFonts w:ascii="仿宋_GB2312" w:hAnsi="仿宋_GB2312" w:eastAsia="仿宋_GB2312" w:cs="仿宋_GB2312"/>
                <w:sz w:val="24"/>
              </w:rPr>
            </w:pPr>
          </w:p>
        </w:tc>
        <w:tc>
          <w:tcPr>
            <w:tcW w:w="1499"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婚姻状况</w:t>
            </w:r>
          </w:p>
        </w:tc>
        <w:tc>
          <w:tcPr>
            <w:tcW w:w="1427" w:type="dxa"/>
            <w:gridSpan w:val="2"/>
            <w:vAlign w:val="center"/>
          </w:tcPr>
          <w:p>
            <w:pPr>
              <w:spacing w:line="400" w:lineRule="exact"/>
              <w:jc w:val="center"/>
              <w:rPr>
                <w:rFonts w:ascii="仿宋_GB2312" w:hAnsi="仿宋_GB2312" w:eastAsia="仿宋_GB2312" w:cs="仿宋_GB2312"/>
                <w:sz w:val="24"/>
              </w:rPr>
            </w:pPr>
          </w:p>
        </w:tc>
        <w:tc>
          <w:tcPr>
            <w:tcW w:w="1847" w:type="dxa"/>
            <w:vMerge w:val="continue"/>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805"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毕业院校</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及所学专业</w:t>
            </w:r>
          </w:p>
        </w:tc>
        <w:tc>
          <w:tcPr>
            <w:tcW w:w="3262" w:type="dxa"/>
            <w:gridSpan w:val="4"/>
            <w:vAlign w:val="center"/>
          </w:tcPr>
          <w:p>
            <w:pPr>
              <w:spacing w:line="400" w:lineRule="exact"/>
              <w:jc w:val="center"/>
              <w:rPr>
                <w:rFonts w:ascii="仿宋_GB2312" w:hAnsi="仿宋_GB2312" w:eastAsia="仿宋_GB2312" w:cs="仿宋_GB2312"/>
                <w:sz w:val="24"/>
              </w:rPr>
            </w:pPr>
          </w:p>
        </w:tc>
        <w:tc>
          <w:tcPr>
            <w:tcW w:w="1499"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毕业时间</w:t>
            </w:r>
          </w:p>
        </w:tc>
        <w:tc>
          <w:tcPr>
            <w:tcW w:w="1427" w:type="dxa"/>
            <w:gridSpan w:val="2"/>
            <w:vAlign w:val="center"/>
          </w:tcPr>
          <w:p>
            <w:pPr>
              <w:spacing w:line="400" w:lineRule="exact"/>
              <w:jc w:val="center"/>
              <w:rPr>
                <w:rFonts w:ascii="仿宋_GB2312" w:hAnsi="仿宋_GB2312" w:eastAsia="仿宋_GB2312" w:cs="仿宋_GB2312"/>
                <w:sz w:val="24"/>
              </w:rPr>
            </w:pPr>
          </w:p>
        </w:tc>
        <w:tc>
          <w:tcPr>
            <w:tcW w:w="1847" w:type="dxa"/>
            <w:vMerge w:val="continue"/>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5"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入伍时间</w:t>
            </w:r>
          </w:p>
        </w:tc>
        <w:tc>
          <w:tcPr>
            <w:tcW w:w="3262" w:type="dxa"/>
            <w:gridSpan w:val="4"/>
            <w:vAlign w:val="center"/>
          </w:tcPr>
          <w:p>
            <w:pPr>
              <w:spacing w:line="400" w:lineRule="exact"/>
              <w:jc w:val="center"/>
              <w:rPr>
                <w:rFonts w:ascii="仿宋_GB2312" w:hAnsi="仿宋_GB2312" w:eastAsia="仿宋_GB2312" w:cs="仿宋_GB2312"/>
                <w:sz w:val="24"/>
              </w:rPr>
            </w:pPr>
          </w:p>
        </w:tc>
        <w:tc>
          <w:tcPr>
            <w:tcW w:w="1499"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退役时间</w:t>
            </w:r>
          </w:p>
        </w:tc>
        <w:tc>
          <w:tcPr>
            <w:tcW w:w="3274" w:type="dxa"/>
            <w:gridSpan w:val="3"/>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805"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户口所在地</w:t>
            </w:r>
          </w:p>
        </w:tc>
        <w:tc>
          <w:tcPr>
            <w:tcW w:w="8035" w:type="dxa"/>
            <w:gridSpan w:val="9"/>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805"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家庭住址</w:t>
            </w:r>
          </w:p>
        </w:tc>
        <w:tc>
          <w:tcPr>
            <w:tcW w:w="8035" w:type="dxa"/>
            <w:gridSpan w:val="9"/>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05"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固定电话</w:t>
            </w:r>
          </w:p>
        </w:tc>
        <w:tc>
          <w:tcPr>
            <w:tcW w:w="3445" w:type="dxa"/>
            <w:gridSpan w:val="5"/>
            <w:vAlign w:val="center"/>
          </w:tcPr>
          <w:p>
            <w:pPr>
              <w:spacing w:line="400" w:lineRule="exact"/>
              <w:jc w:val="center"/>
              <w:rPr>
                <w:rFonts w:ascii="仿宋_GB2312" w:hAnsi="仿宋_GB2312" w:eastAsia="仿宋_GB2312" w:cs="仿宋_GB2312"/>
                <w:sz w:val="24"/>
              </w:rPr>
            </w:pPr>
          </w:p>
        </w:tc>
        <w:tc>
          <w:tcPr>
            <w:tcW w:w="1469"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手机电话</w:t>
            </w:r>
          </w:p>
        </w:tc>
        <w:tc>
          <w:tcPr>
            <w:tcW w:w="3121" w:type="dxa"/>
            <w:gridSpan w:val="2"/>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805"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简 历</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（从参加工作前的院校毕业时间填起）</w:t>
            </w:r>
          </w:p>
        </w:tc>
        <w:tc>
          <w:tcPr>
            <w:tcW w:w="8035" w:type="dxa"/>
            <w:gridSpan w:val="9"/>
            <w:vAlign w:val="center"/>
          </w:tcPr>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805"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申请加分项目</w:t>
            </w:r>
          </w:p>
        </w:tc>
        <w:tc>
          <w:tcPr>
            <w:tcW w:w="8035" w:type="dxa"/>
            <w:gridSpan w:val="9"/>
            <w:vAlign w:val="center"/>
          </w:tcPr>
          <w:p>
            <w:pPr>
              <w:spacing w:line="4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805" w:type="dxa"/>
            <w:gridSpan w:val="2"/>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本人签字</w:t>
            </w:r>
          </w:p>
        </w:tc>
        <w:tc>
          <w:tcPr>
            <w:tcW w:w="8035" w:type="dxa"/>
            <w:gridSpan w:val="9"/>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表中所填信息属实，如经查发现不符，本人愿意承担一切责任。 </w:t>
            </w:r>
          </w:p>
          <w:p>
            <w:pPr>
              <w:spacing w:line="400" w:lineRule="exact"/>
              <w:rPr>
                <w:rFonts w:ascii="仿宋_GB2312" w:hAnsi="仿宋_GB2312" w:eastAsia="仿宋_GB2312" w:cs="仿宋_GB2312"/>
                <w:sz w:val="24"/>
              </w:rPr>
            </w:pP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签字：</w:t>
            </w:r>
          </w:p>
          <w:p>
            <w:pPr>
              <w:spacing w:line="400" w:lineRule="exact"/>
              <w:jc w:val="right"/>
              <w:rPr>
                <w:rFonts w:ascii="仿宋_GB2312" w:hAnsi="仿宋_GB2312" w:eastAsia="仿宋_GB2312" w:cs="仿宋_GB2312"/>
                <w:sz w:val="24"/>
              </w:rPr>
            </w:pPr>
            <w:r>
              <w:rPr>
                <w:rFonts w:hint="eastAsia" w:ascii="仿宋_GB2312" w:hAnsi="仿宋_GB2312"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805" w:type="dxa"/>
            <w:gridSpan w:val="2"/>
            <w:vAlign w:val="center"/>
          </w:tcPr>
          <w:p>
            <w:pPr>
              <w:spacing w:line="400" w:lineRule="exact"/>
            </w:pPr>
          </w:p>
          <w:p>
            <w:pPr>
              <w:spacing w:line="400" w:lineRule="exact"/>
              <w:jc w:val="center"/>
            </w:pPr>
            <w:r>
              <w:rPr>
                <w:rFonts w:hint="eastAsia"/>
              </w:rPr>
              <w:t>资格审核意见</w:t>
            </w:r>
          </w:p>
          <w:p>
            <w:pPr>
              <w:spacing w:line="400" w:lineRule="exact"/>
            </w:pPr>
          </w:p>
        </w:tc>
        <w:tc>
          <w:tcPr>
            <w:tcW w:w="2936" w:type="dxa"/>
            <w:gridSpan w:val="3"/>
            <w:vAlign w:val="center"/>
          </w:tcPr>
          <w:p>
            <w:pPr>
              <w:spacing w:line="400" w:lineRule="exact"/>
            </w:pPr>
            <w:r>
              <w:t xml:space="preserve">              </w:t>
            </w:r>
          </w:p>
          <w:p>
            <w:pPr>
              <w:spacing w:line="400" w:lineRule="exact"/>
            </w:pPr>
            <w:r>
              <w:t xml:space="preserve">                                          </w:t>
            </w:r>
          </w:p>
          <w:p>
            <w:pPr>
              <w:spacing w:line="400" w:lineRule="exact"/>
            </w:pPr>
          </w:p>
          <w:p>
            <w:pPr>
              <w:spacing w:line="400" w:lineRule="exact"/>
              <w:jc w:val="right"/>
            </w:pPr>
            <w:r>
              <w:rPr>
                <w:rFonts w:hint="eastAsia"/>
              </w:rPr>
              <w:t>年</w:t>
            </w:r>
            <w:r>
              <w:t xml:space="preserve">   </w:t>
            </w:r>
            <w:r>
              <w:rPr>
                <w:rFonts w:hint="eastAsia"/>
              </w:rPr>
              <w:t>月</w:t>
            </w:r>
            <w:r>
              <w:t xml:space="preserve">   </w:t>
            </w:r>
            <w:r>
              <w:rPr>
                <w:rFonts w:hint="eastAsia"/>
              </w:rPr>
              <w:t>日</w:t>
            </w:r>
          </w:p>
        </w:tc>
        <w:tc>
          <w:tcPr>
            <w:tcW w:w="1978" w:type="dxa"/>
            <w:gridSpan w:val="4"/>
            <w:vAlign w:val="center"/>
          </w:tcPr>
          <w:p>
            <w:pPr>
              <w:spacing w:line="400" w:lineRule="exact"/>
              <w:jc w:val="center"/>
            </w:pPr>
            <w:r>
              <w:rPr>
                <w:rFonts w:hint="eastAsia"/>
              </w:rPr>
              <w:t>加分项</w:t>
            </w:r>
          </w:p>
          <w:p>
            <w:pPr>
              <w:spacing w:line="400" w:lineRule="exact"/>
              <w:jc w:val="center"/>
            </w:pPr>
            <w:r>
              <w:rPr>
                <w:rFonts w:hint="eastAsia"/>
              </w:rPr>
              <w:t>审核意见</w:t>
            </w:r>
          </w:p>
        </w:tc>
        <w:tc>
          <w:tcPr>
            <w:tcW w:w="3121" w:type="dxa"/>
            <w:gridSpan w:val="2"/>
            <w:vAlign w:val="center"/>
          </w:tcPr>
          <w:p>
            <w:pPr>
              <w:spacing w:line="400" w:lineRule="exact"/>
            </w:pPr>
          </w:p>
          <w:p>
            <w:pPr>
              <w:spacing w:line="400" w:lineRule="exact"/>
            </w:pPr>
          </w:p>
          <w:p>
            <w:pPr>
              <w:spacing w:line="400" w:lineRule="exact"/>
            </w:pPr>
          </w:p>
          <w:p>
            <w:pPr>
              <w:spacing w:line="400" w:lineRule="exact"/>
              <w:jc w:val="right"/>
            </w:pPr>
            <w:r>
              <w:rPr>
                <w:rFonts w:hint="eastAsia"/>
              </w:rPr>
              <w:t>年</w:t>
            </w:r>
            <w:r>
              <w:t xml:space="preserve">   </w:t>
            </w:r>
            <w:r>
              <w:rPr>
                <w:rFonts w:hint="eastAsia"/>
              </w:rPr>
              <w:t>月</w:t>
            </w:r>
            <w:r>
              <w:t xml:space="preserve">   </w:t>
            </w:r>
            <w:r>
              <w:rPr>
                <w:rFonts w:hint="eastAsia"/>
              </w:rPr>
              <w:t>日</w:t>
            </w:r>
          </w:p>
        </w:tc>
      </w:tr>
    </w:tbl>
    <w:p>
      <w:pPr>
        <w:spacing w:line="400" w:lineRule="exact"/>
        <w:rPr>
          <w:rFonts w:ascii="黑体" w:hAnsi="黑体" w:eastAsia="黑体" w:cs="黑体"/>
          <w:sz w:val="32"/>
          <w:szCs w:val="32"/>
        </w:rPr>
      </w:pPr>
      <w:r>
        <w:rPr>
          <w:rFonts w:hint="eastAsia" w:ascii="黑体" w:hAnsi="黑体" w:eastAsia="黑体" w:cs="黑体"/>
          <w:sz w:val="32"/>
          <w:szCs w:val="32"/>
        </w:rPr>
        <w:t>附件3</w:t>
      </w:r>
    </w:p>
    <w:p>
      <w:pPr>
        <w:pStyle w:val="2"/>
        <w:rPr>
          <w:rFonts w:hint="default"/>
        </w:rPr>
      </w:pPr>
      <w:r>
        <w:rPr>
          <w:rFonts w:hint="eastAsia"/>
          <w:lang w:eastAsia="zh-CN"/>
        </w:rPr>
        <w:t>2025年</w:t>
      </w:r>
      <w:r>
        <w:t>光泽县县属国有企业专岗招聘</w:t>
      </w:r>
    </w:p>
    <w:p>
      <w:pPr>
        <w:pStyle w:val="2"/>
        <w:rPr>
          <w:rFonts w:hint="default"/>
        </w:rPr>
      </w:pPr>
      <w:r>
        <w:t>退役军人征求意见函</w:t>
      </w:r>
    </w:p>
    <w:p>
      <w:pPr>
        <w:spacing w:line="560" w:lineRule="exact"/>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退役军人户籍地公安派出所</w:t>
      </w:r>
      <w:r>
        <w:rPr>
          <w:rFonts w:hint="eastAsia" w:ascii="仿宋" w:hAnsi="仿宋" w:eastAsia="仿宋"/>
          <w:sz w:val="32"/>
          <w:szCs w:val="32"/>
        </w:rPr>
        <w:t>、</w:t>
      </w:r>
      <w:r>
        <w:rPr>
          <w:rFonts w:hint="eastAsia" w:ascii="仿宋_GB2312" w:hAnsi="仿宋_GB2312" w:eastAsia="仿宋_GB2312" w:cs="仿宋_GB2312"/>
          <w:sz w:val="32"/>
          <w:szCs w:val="32"/>
        </w:rPr>
        <w:t>县两违办：</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同志（身份证号码：                  ）是否有过违法、治安等不良记录，请予以协查并反馈给我们。</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bl>
      <w:tblPr>
        <w:tblStyle w:val="8"/>
        <w:tblpPr w:leftFromText="180" w:rightFromText="180" w:vertAnchor="text" w:horzAnchor="page" w:tblpX="2019" w:tblpY="187"/>
        <w:tblOverlap w:val="never"/>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4"/>
        <w:gridCol w:w="3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Pr>
          <w:p>
            <w:pPr>
              <w:rPr>
                <w:rFonts w:ascii="仿宋" w:hAnsi="仿宋" w:eastAsia="仿宋"/>
                <w:sz w:val="32"/>
                <w:szCs w:val="32"/>
              </w:rPr>
            </w:pPr>
            <w:r>
              <w:rPr>
                <w:rFonts w:hint="eastAsia" w:ascii="仿宋" w:hAnsi="仿宋" w:eastAsia="仿宋"/>
                <w:sz w:val="32"/>
                <w:szCs w:val="32"/>
              </w:rPr>
              <w:t>公安部门反馈意见</w:t>
            </w:r>
          </w:p>
        </w:tc>
        <w:tc>
          <w:tcPr>
            <w:tcW w:w="3975" w:type="dxa"/>
          </w:tcPr>
          <w:p>
            <w:pPr>
              <w:jc w:val="center"/>
              <w:rPr>
                <w:rFonts w:ascii="仿宋" w:hAnsi="仿宋" w:eastAsia="仿宋"/>
                <w:sz w:val="32"/>
                <w:szCs w:val="32"/>
              </w:rPr>
            </w:pPr>
            <w:r>
              <w:rPr>
                <w:rFonts w:hint="eastAsia" w:ascii="仿宋" w:hAnsi="仿宋" w:eastAsia="仿宋"/>
                <w:sz w:val="32"/>
                <w:szCs w:val="32"/>
              </w:rPr>
              <w:t>县两违办意见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4434" w:type="dxa"/>
          </w:tcPr>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2080" w:firstLineChars="650"/>
              <w:rPr>
                <w:rFonts w:ascii="仿宋" w:hAnsi="仿宋" w:eastAsia="仿宋"/>
                <w:sz w:val="32"/>
                <w:szCs w:val="32"/>
              </w:rPr>
            </w:pPr>
            <w:r>
              <w:rPr>
                <w:rFonts w:hint="eastAsia" w:ascii="仿宋" w:hAnsi="仿宋" w:eastAsia="仿宋"/>
                <w:sz w:val="32"/>
                <w:szCs w:val="32"/>
              </w:rPr>
              <w:t>盖章</w:t>
            </w:r>
          </w:p>
          <w:p>
            <w:pPr>
              <w:ind w:firstLine="960" w:firstLineChars="300"/>
              <w:rPr>
                <w:rFonts w:ascii="仿宋" w:hAnsi="仿宋" w:eastAsia="仿宋"/>
                <w:sz w:val="32"/>
                <w:szCs w:val="32"/>
              </w:rPr>
            </w:pPr>
            <w:r>
              <w:rPr>
                <w:rFonts w:hint="eastAsia" w:ascii="仿宋" w:hAnsi="仿宋" w:eastAsia="仿宋"/>
                <w:sz w:val="32"/>
                <w:szCs w:val="32"/>
              </w:rPr>
              <w:t>年   月   日</w:t>
            </w:r>
          </w:p>
        </w:tc>
        <w:tc>
          <w:tcPr>
            <w:tcW w:w="3975" w:type="dxa"/>
          </w:tcPr>
          <w:p>
            <w:pPr>
              <w:ind w:firstLine="1600" w:firstLineChars="500"/>
              <w:rPr>
                <w:rFonts w:ascii="仿宋" w:hAnsi="仿宋" w:eastAsia="仿宋"/>
                <w:sz w:val="32"/>
                <w:szCs w:val="32"/>
              </w:rPr>
            </w:pPr>
          </w:p>
          <w:p>
            <w:pPr>
              <w:ind w:firstLine="1600" w:firstLineChars="500"/>
              <w:rPr>
                <w:rFonts w:ascii="仿宋" w:hAnsi="仿宋" w:eastAsia="仿宋"/>
                <w:sz w:val="32"/>
                <w:szCs w:val="32"/>
              </w:rPr>
            </w:pPr>
          </w:p>
          <w:p>
            <w:pPr>
              <w:ind w:firstLine="1600" w:firstLineChars="500"/>
              <w:rPr>
                <w:rFonts w:ascii="仿宋" w:hAnsi="仿宋" w:eastAsia="仿宋"/>
                <w:sz w:val="32"/>
                <w:szCs w:val="32"/>
              </w:rPr>
            </w:pPr>
          </w:p>
          <w:p>
            <w:pPr>
              <w:ind w:firstLine="1600" w:firstLineChars="500"/>
              <w:rPr>
                <w:rFonts w:ascii="仿宋" w:hAnsi="仿宋" w:eastAsia="仿宋"/>
                <w:sz w:val="32"/>
                <w:szCs w:val="32"/>
              </w:rPr>
            </w:pPr>
            <w:r>
              <w:rPr>
                <w:rFonts w:hint="eastAsia" w:ascii="仿宋" w:hAnsi="仿宋" w:eastAsia="仿宋"/>
                <w:sz w:val="32"/>
                <w:szCs w:val="32"/>
              </w:rPr>
              <w:t>盖章</w:t>
            </w:r>
          </w:p>
          <w:p>
            <w:pPr>
              <w:ind w:firstLine="1280" w:firstLineChars="400"/>
              <w:rPr>
                <w:rFonts w:ascii="仿宋" w:hAnsi="仿宋" w:eastAsia="仿宋"/>
                <w:sz w:val="32"/>
                <w:szCs w:val="32"/>
              </w:rPr>
            </w:pPr>
            <w:r>
              <w:rPr>
                <w:rFonts w:hint="eastAsia" w:ascii="仿宋" w:hAnsi="仿宋" w:eastAsia="仿宋"/>
                <w:sz w:val="32"/>
                <w:szCs w:val="32"/>
              </w:rPr>
              <w:t>年  月  日</w:t>
            </w:r>
          </w:p>
        </w:tc>
      </w:tr>
    </w:tbl>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pPr>
    </w:p>
    <w:p>
      <w:pPr>
        <w:spacing w:line="400" w:lineRule="exact"/>
        <w:rPr>
          <w:rFonts w:ascii="黑体" w:hAnsi="黑体" w:eastAsia="黑体" w:cs="黑体"/>
          <w:sz w:val="32"/>
          <w:szCs w:val="32"/>
        </w:rPr>
      </w:pPr>
      <w:r>
        <w:rPr>
          <w:rFonts w:hint="eastAsia" w:ascii="黑体" w:hAnsi="黑体" w:eastAsia="黑体" w:cs="黑体"/>
          <w:sz w:val="32"/>
          <w:szCs w:val="32"/>
        </w:rPr>
        <w:t>附件4</w:t>
      </w:r>
    </w:p>
    <w:p>
      <w:pPr>
        <w:pStyle w:val="2"/>
        <w:rPr>
          <w:rFonts w:hint="default"/>
        </w:rPr>
      </w:pPr>
      <w:r>
        <w:rPr>
          <w:u w:val="single"/>
        </w:rPr>
        <w:t xml:space="preserve">        </w:t>
      </w:r>
      <w:r>
        <w:t>同志失信被执行查询情况证明</w:t>
      </w:r>
    </w:p>
    <w:p/>
    <w:p>
      <w:pPr>
        <w:spacing w:line="560" w:lineRule="exact"/>
        <w:rPr>
          <w:rFonts w:ascii="仿宋_GB2312" w:hAnsi="仿宋_GB2312" w:eastAsia="仿宋_GB2312" w:cs="仿宋_GB2312"/>
          <w:sz w:val="32"/>
          <w:szCs w:val="32"/>
        </w:rPr>
      </w:pPr>
      <w:r>
        <w:t xml:space="preserve">         </w:t>
      </w:r>
      <w:r>
        <w:rPr>
          <w:rFonts w:hint="eastAsia" w:ascii="仿宋_GB2312" w:hAnsi="仿宋_GB2312" w:eastAsia="仿宋_GB2312" w:cs="仿宋_GB2312"/>
          <w:sz w:val="32"/>
          <w:szCs w:val="32"/>
        </w:rPr>
        <w:t>同志（身份证号码：                   ），查询中国执行信息公开网（http://zxgk.court.gov.cn/）失信被执行情况，经查询未发现失信被执行情况。</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截图如下：</w:t>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spacing w:line="560" w:lineRule="exact"/>
      </w:pPr>
      <w:r>
        <w:t xml:space="preserve"> </w:t>
      </w:r>
    </w:p>
    <w:p>
      <w:pPr>
        <w:spacing w:line="560" w:lineRule="exact"/>
        <w:ind w:left="6703" w:leftChars="3192"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年 年   月   日</w:t>
      </w:r>
    </w:p>
    <w:p>
      <w:pPr>
        <w:spacing w:line="560" w:lineRule="exact"/>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3C13B"/>
    <w:multiLevelType w:val="singleLevel"/>
    <w:tmpl w:val="4E33C13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zZmU5MjVjNzFhMmE5NzNkNGRhNmVhMWQ3ZTUyODYifQ=="/>
  </w:docVars>
  <w:rsids>
    <w:rsidRoot w:val="00C711F5"/>
    <w:rsid w:val="00014AD6"/>
    <w:rsid w:val="00042943"/>
    <w:rsid w:val="00114FC3"/>
    <w:rsid w:val="002332EB"/>
    <w:rsid w:val="007A7A47"/>
    <w:rsid w:val="008E2A46"/>
    <w:rsid w:val="00925763"/>
    <w:rsid w:val="00A25D50"/>
    <w:rsid w:val="00B26644"/>
    <w:rsid w:val="00B4009E"/>
    <w:rsid w:val="00B63A69"/>
    <w:rsid w:val="00C711F5"/>
    <w:rsid w:val="00E17624"/>
    <w:rsid w:val="00E67F07"/>
    <w:rsid w:val="00F77A4B"/>
    <w:rsid w:val="03723B68"/>
    <w:rsid w:val="05967723"/>
    <w:rsid w:val="07A17CE2"/>
    <w:rsid w:val="08E9189C"/>
    <w:rsid w:val="09003605"/>
    <w:rsid w:val="0B2013FF"/>
    <w:rsid w:val="0BFE7BEA"/>
    <w:rsid w:val="0FB93544"/>
    <w:rsid w:val="108F2E5F"/>
    <w:rsid w:val="10DB305F"/>
    <w:rsid w:val="138F27C1"/>
    <w:rsid w:val="13E475E8"/>
    <w:rsid w:val="164976AB"/>
    <w:rsid w:val="17017F86"/>
    <w:rsid w:val="17F77304"/>
    <w:rsid w:val="181948D9"/>
    <w:rsid w:val="183C17EB"/>
    <w:rsid w:val="18DF7B48"/>
    <w:rsid w:val="18F46815"/>
    <w:rsid w:val="1A846F3C"/>
    <w:rsid w:val="1B6D01B1"/>
    <w:rsid w:val="1B800274"/>
    <w:rsid w:val="1D320039"/>
    <w:rsid w:val="1E065769"/>
    <w:rsid w:val="208714FC"/>
    <w:rsid w:val="24C02423"/>
    <w:rsid w:val="2C6A29A0"/>
    <w:rsid w:val="2DD01876"/>
    <w:rsid w:val="31556AAC"/>
    <w:rsid w:val="31A2261C"/>
    <w:rsid w:val="33EF5D08"/>
    <w:rsid w:val="34B150AB"/>
    <w:rsid w:val="357214E3"/>
    <w:rsid w:val="35FF3BAE"/>
    <w:rsid w:val="37357E6F"/>
    <w:rsid w:val="37984905"/>
    <w:rsid w:val="38743E83"/>
    <w:rsid w:val="39384420"/>
    <w:rsid w:val="39B924DA"/>
    <w:rsid w:val="3D913562"/>
    <w:rsid w:val="3E3C69BB"/>
    <w:rsid w:val="3FEF784C"/>
    <w:rsid w:val="3FFF1371"/>
    <w:rsid w:val="401A579E"/>
    <w:rsid w:val="404B3BD4"/>
    <w:rsid w:val="476F1E7E"/>
    <w:rsid w:val="47CB5061"/>
    <w:rsid w:val="49513F06"/>
    <w:rsid w:val="4A336E1C"/>
    <w:rsid w:val="4D342E91"/>
    <w:rsid w:val="4FB00804"/>
    <w:rsid w:val="50285660"/>
    <w:rsid w:val="50344F26"/>
    <w:rsid w:val="510429C5"/>
    <w:rsid w:val="51202978"/>
    <w:rsid w:val="527F28C8"/>
    <w:rsid w:val="52A64819"/>
    <w:rsid w:val="54332F77"/>
    <w:rsid w:val="55221597"/>
    <w:rsid w:val="556804B6"/>
    <w:rsid w:val="55823A91"/>
    <w:rsid w:val="56E112EC"/>
    <w:rsid w:val="57BEC854"/>
    <w:rsid w:val="58565775"/>
    <w:rsid w:val="5963595B"/>
    <w:rsid w:val="5B98317F"/>
    <w:rsid w:val="5BA04B25"/>
    <w:rsid w:val="5CAD1D31"/>
    <w:rsid w:val="5D803EC3"/>
    <w:rsid w:val="60104B30"/>
    <w:rsid w:val="6039337D"/>
    <w:rsid w:val="61E0094B"/>
    <w:rsid w:val="627F202C"/>
    <w:rsid w:val="65FCD898"/>
    <w:rsid w:val="69101277"/>
    <w:rsid w:val="69A65861"/>
    <w:rsid w:val="6A397D75"/>
    <w:rsid w:val="6BC97EFC"/>
    <w:rsid w:val="6CE71ABC"/>
    <w:rsid w:val="6DEA59F7"/>
    <w:rsid w:val="7141162A"/>
    <w:rsid w:val="74E541C7"/>
    <w:rsid w:val="752D7FE7"/>
    <w:rsid w:val="771C6CE2"/>
    <w:rsid w:val="779D0087"/>
    <w:rsid w:val="77C8280E"/>
    <w:rsid w:val="782F6CCF"/>
    <w:rsid w:val="78DB383F"/>
    <w:rsid w:val="79C43D9C"/>
    <w:rsid w:val="7ADFB072"/>
    <w:rsid w:val="7B0F1CF0"/>
    <w:rsid w:val="7DFBE4CA"/>
    <w:rsid w:val="7E1A73D3"/>
    <w:rsid w:val="7F9569D4"/>
    <w:rsid w:val="7FFFCE0E"/>
    <w:rsid w:val="8117A731"/>
    <w:rsid w:val="AF3CA396"/>
    <w:rsid w:val="BF9E49AD"/>
    <w:rsid w:val="E48D1C41"/>
    <w:rsid w:val="EFC96F76"/>
    <w:rsid w:val="F3DF1811"/>
    <w:rsid w:val="F7E32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60" w:lineRule="exact"/>
      <w:jc w:val="center"/>
      <w:outlineLvl w:val="0"/>
    </w:pPr>
    <w:rPr>
      <w:rFonts w:hint="eastAsia" w:ascii="宋体" w:hAnsi="宋体" w:eastAsia="方正小标宋简体" w:cs="Times New Roman"/>
      <w:kern w:val="44"/>
      <w:sz w:val="44"/>
      <w:szCs w:val="48"/>
    </w:rPr>
  </w:style>
  <w:style w:type="paragraph" w:styleId="3">
    <w:name w:val="heading 2"/>
    <w:basedOn w:val="1"/>
    <w:next w:val="1"/>
    <w:unhideWhenUsed/>
    <w:qFormat/>
    <w:uiPriority w:val="0"/>
    <w:pPr>
      <w:keepNext/>
      <w:keepLines/>
      <w:spacing w:line="560" w:lineRule="exact"/>
      <w:outlineLvl w:val="1"/>
    </w:pPr>
    <w:rPr>
      <w:rFonts w:ascii="Arial" w:hAnsi="Arial" w:eastAsia="黑体"/>
      <w:sz w:val="32"/>
    </w:rPr>
  </w:style>
  <w:style w:type="paragraph" w:styleId="4">
    <w:name w:val="heading 3"/>
    <w:basedOn w:val="1"/>
    <w:next w:val="1"/>
    <w:link w:val="11"/>
    <w:unhideWhenUsed/>
    <w:qFormat/>
    <w:uiPriority w:val="0"/>
    <w:pPr>
      <w:keepNext/>
      <w:keepLines/>
      <w:spacing w:line="560" w:lineRule="exact"/>
      <w:ind w:firstLine="880" w:firstLineChars="200"/>
      <w:outlineLvl w:val="2"/>
    </w:pPr>
    <w:rPr>
      <w:rFonts w:ascii="Times New Roman" w:hAnsi="Times New Roman" w:eastAsia="楷体_GB2312"/>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page number"/>
    <w:basedOn w:val="9"/>
    <w:qFormat/>
    <w:uiPriority w:val="99"/>
  </w:style>
  <w:style w:type="character" w:customStyle="1" w:styleId="11">
    <w:name w:val="标题 3 字符"/>
    <w:link w:val="4"/>
    <w:qFormat/>
    <w:uiPriority w:val="0"/>
    <w:rPr>
      <w:rFonts w:ascii="Times New Roman" w:hAnsi="Times New Roman" w:eastAsia="楷体_GB2312"/>
      <w:b/>
      <w:sz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602</Words>
  <Characters>3438</Characters>
  <Lines>28</Lines>
  <Paragraphs>8</Paragraphs>
  <TotalTime>1188</TotalTime>
  <ScaleCrop>false</ScaleCrop>
  <LinksUpToDate>false</LinksUpToDate>
  <CharactersWithSpaces>4032</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2021-10-23T19:40:00Z</dcterms:created>
  <dc:creator>Administrator.USER-20191007GU</dc:creator>
  <cp:lastModifiedBy>admin</cp:lastModifiedBy>
  <cp:lastPrinted>2025-12-11T18:46:00Z</cp:lastPrinted>
  <dcterms:modified xsi:type="dcterms:W3CDTF">2025-12-22T10:26:49Z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3AF1905F05DE1775711A396983D2A2D7</vt:lpwstr>
  </property>
</Properties>
</file>