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pageBreakBefore w:val="0"/>
        <w:widowControl w:val="0"/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附件1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温州市瓯海科技投资有限公司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招聘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岗位计划表</w:t>
      </w:r>
    </w:p>
    <w:bookmarkEnd w:id="0"/>
    <w:tbl>
      <w:tblPr>
        <w:tblStyle w:val="7"/>
        <w:tblW w:w="16068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"/>
        <w:gridCol w:w="1087"/>
        <w:gridCol w:w="696"/>
        <w:gridCol w:w="2277"/>
        <w:gridCol w:w="1114"/>
        <w:gridCol w:w="1032"/>
        <w:gridCol w:w="1915"/>
        <w:gridCol w:w="6636"/>
        <w:gridCol w:w="91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270" w:hRule="atLeast"/>
          <w:jc w:val="center"/>
        </w:trPr>
        <w:tc>
          <w:tcPr>
            <w:tcW w:w="39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编号</w:t>
            </w: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</w:t>
            </w:r>
          </w:p>
        </w:tc>
        <w:tc>
          <w:tcPr>
            <w:tcW w:w="69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招聘数量</w:t>
            </w:r>
          </w:p>
        </w:tc>
        <w:tc>
          <w:tcPr>
            <w:tcW w:w="227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岗位描述（工作内容）</w:t>
            </w:r>
          </w:p>
        </w:tc>
        <w:tc>
          <w:tcPr>
            <w:tcW w:w="10697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岗位要求</w:t>
            </w:r>
          </w:p>
        </w:tc>
        <w:tc>
          <w:tcPr>
            <w:tcW w:w="91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薪资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待遇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9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9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27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年龄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其他要求</w:t>
            </w:r>
          </w:p>
        </w:tc>
        <w:tc>
          <w:tcPr>
            <w:tcW w:w="91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11" w:hRule="atLeast"/>
          <w:jc w:val="center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风控专员（法律方向）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主要负责项目的风控、投资项目的投资协议条款审核与落实等相关工作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1985年12月1日(含)以后出生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全日制研究生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法学类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1.有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1年以上投资行业或律师事务所相关法律事务工作经验；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2.满足以下条件之一者专业不限：①具备律师资格证；②通过国家统一法律职业资格考试并取得A类法律职业资格证书。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3.具备以下之一资格的（注册会计师证、法律职业资格证、基金从业资格证、证券从业资格证），可放宽至“985”“211”“双一流”院校全日制本科学历；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highlight w:val="none"/>
                <w:u w:val="none"/>
                <w:lang w:val="en-US" w:eastAsia="zh-CN" w:bidi="ar"/>
              </w:rPr>
              <w:t>4.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能接受短期出差。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10-19万，具体面议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投资分析员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主要负责数字经济/生命健康/智能制造/新材料等领域的研究，挖掘股权投资机会，负责项目尽调及投资风险与价值评估，跟进项目全流程落地等相关工作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1985年12月1日(含)以后出生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全日制研究生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材料类、计算机科学与技术类、计算机类、金融类、金融学类、经济学类、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医学类、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生物学类、统计学类、应用经济学类、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法学类、会计学类、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有1年以上相关工作经验；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2.对行业趋势和研发热点有独立判断和思考能力；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3.有较好的职业素养和工作情商，有一定的团队管理能力及组织协调能力；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4.具备以下之一资格的（注册会计师证、法律职业资格证、基金从业资格证、证券从业资格证），可放宽至“985”“211”“双一流”院校全日制本科学历；</w:t>
            </w:r>
          </w:p>
          <w:p>
            <w:pPr>
              <w:pStyle w:val="4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能接受短期出差。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10-19万，具体面议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9" w:hRule="atLeast"/>
          <w:jc w:val="center"/>
        </w:trPr>
        <w:tc>
          <w:tcPr>
            <w:tcW w:w="3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投后管理专员</w:t>
            </w:r>
          </w:p>
        </w:tc>
        <w:tc>
          <w:tcPr>
            <w:tcW w:w="6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22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负责对投后项目进行跟踪管理等相关工作</w:t>
            </w:r>
          </w:p>
        </w:tc>
        <w:tc>
          <w:tcPr>
            <w:tcW w:w="11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1985年12月1日(含)以后出生</w:t>
            </w:r>
          </w:p>
        </w:tc>
        <w:tc>
          <w:tcPr>
            <w:tcW w:w="10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全日制研究生</w:t>
            </w:r>
          </w:p>
        </w:tc>
        <w:tc>
          <w:tcPr>
            <w:tcW w:w="191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计算机类、金融类、金融学类、经济学类、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医学类、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生物学类、统计学类、应用经济学类、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eastAsia="zh-CN" w:bidi="ar"/>
              </w:rPr>
              <w:t>法学类、会计学类、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工商管理类</w:t>
            </w:r>
          </w:p>
        </w:tc>
        <w:tc>
          <w:tcPr>
            <w:tcW w:w="66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1.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有1年以上相关工作经验；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2.具备较强的文字撰写能力，能清晰输出领域项目投后报告与分析结论；</w:t>
            </w:r>
          </w:p>
          <w:p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jc w:val="left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lang w:val="en-US" w:eastAsia="zh-CN" w:bidi="ar"/>
              </w:rPr>
              <w:t>3.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拥有良好的跨部门沟通协调能力与资源整合能力，能有效对接领域内项目方、行业专家及外部合作机构；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4.具备以下之一资格的（注册会计师证、法律职业资格证、基金从业资格证、证券从业资格证），可放宽至“985”“211”“双一流”院校全日制本科学历；</w:t>
            </w:r>
          </w:p>
          <w:p>
            <w:pPr>
              <w:pStyle w:val="4"/>
              <w:ind w:left="0" w:leftChars="0" w:firstLine="0" w:firstLineChars="0"/>
              <w:rPr>
                <w:rFonts w:hint="eastAsia" w:ascii="仿宋_GB2312" w:hAnsi="仿宋_GB2312" w:eastAsia="仿宋_GB2312" w:cs="仿宋_GB2312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5.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能接受短期出差。</w:t>
            </w:r>
          </w:p>
        </w:tc>
        <w:tc>
          <w:tcPr>
            <w:tcW w:w="9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10-19万，具体面议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E2MjZiYWU5MDMyMzllZGI1ODNkZTNmNTQ1Y2Y4YmQifQ=="/>
  </w:docVars>
  <w:rsids>
    <w:rsidRoot w:val="4B931FC1"/>
    <w:rsid w:val="4B931F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qFormat="1" w:uiPriority="99" w:semiHidden="0" w:name="toc 3"/>
    <w:lsdException w:unhideWhenUsed="0" w:uiPriority="0" w:semiHidden="0" w:name="toc 4"/>
    <w:lsdException w:unhideWhenUsed="0" w:uiPriority="0" w:semiHidden="0" w:name="toc 5"/>
    <w:lsdException w:qFormat="1"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3"/>
    <w:basedOn w:val="1"/>
    <w:next w:val="1"/>
    <w:unhideWhenUsed/>
    <w:qFormat/>
    <w:uiPriority w:val="99"/>
    <w:pPr>
      <w:spacing w:before="100" w:beforeAutospacing="1" w:after="100" w:afterAutospacing="1"/>
      <w:ind w:left="420"/>
    </w:pPr>
    <w:rPr>
      <w:rFonts w:ascii="等线" w:hAnsi="等线" w:eastAsia="等线" w:cs="Times New Roman"/>
      <w:b/>
      <w:sz w:val="30"/>
      <w:szCs w:val="30"/>
    </w:rPr>
  </w:style>
  <w:style w:type="paragraph" w:styleId="3">
    <w:name w:val="Body Text"/>
    <w:basedOn w:val="1"/>
    <w:next w:val="4"/>
    <w:qFormat/>
    <w:uiPriority w:val="0"/>
    <w:pPr>
      <w:spacing w:after="120" w:afterLines="0" w:afterAutospacing="0"/>
    </w:pPr>
  </w:style>
  <w:style w:type="paragraph" w:styleId="4">
    <w:name w:val="Body Text First Indent"/>
    <w:basedOn w:val="3"/>
    <w:next w:val="5"/>
    <w:qFormat/>
    <w:uiPriority w:val="0"/>
    <w:pPr>
      <w:ind w:firstLine="420" w:firstLineChars="100"/>
    </w:pPr>
  </w:style>
  <w:style w:type="paragraph" w:styleId="5">
    <w:name w:val="toc 6"/>
    <w:basedOn w:val="1"/>
    <w:next w:val="1"/>
    <w:qFormat/>
    <w:uiPriority w:val="0"/>
    <w:pPr>
      <w:ind w:left="2100" w:leftChars="10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2025-12-23T08:42:00Z</dcterms:created>
  <dc:creator>胡思怡</dc:creator>
  <cp:lastModifiedBy>胡思怡</cp:lastModifiedBy>
  <dcterms:modified xsi:type="dcterms:W3CDTF">2025-12-23T08:43:34Z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3565EC869EB24EA0A314AEE8CB1FD441_11</vt:lpwstr>
  </property>
</Properties>
</file>