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D21D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7AA8E33D">
      <w:pPr>
        <w:widowControl/>
        <w:spacing w:line="56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四川矿产机电技师学院</w:t>
      </w:r>
    </w:p>
    <w:p w14:paraId="15818DD5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教师招聘岗位一览表（第二批）</w:t>
      </w:r>
    </w:p>
    <w:tbl>
      <w:tblPr>
        <w:tblStyle w:val="2"/>
        <w:tblpPr w:leftFromText="180" w:rightFromText="180" w:vertAnchor="text" w:horzAnchor="margin" w:tblpXSpec="center" w:tblpY="283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51"/>
        <w:gridCol w:w="1207"/>
        <w:gridCol w:w="1628"/>
        <w:gridCol w:w="2058"/>
        <w:gridCol w:w="2199"/>
      </w:tblGrid>
      <w:tr w14:paraId="74DC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12" w:type="dxa"/>
            <w:vAlign w:val="center"/>
          </w:tcPr>
          <w:p w14:paraId="33CF24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岗位代码</w:t>
            </w:r>
          </w:p>
          <w:p w14:paraId="75F13B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 w14:paraId="37BA6F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招聘</w:t>
            </w:r>
          </w:p>
          <w:p w14:paraId="311C34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207" w:type="dxa"/>
            <w:vAlign w:val="center"/>
          </w:tcPr>
          <w:p w14:paraId="4A59FB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28" w:type="dxa"/>
            <w:vAlign w:val="center"/>
          </w:tcPr>
          <w:p w14:paraId="58A413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058" w:type="dxa"/>
            <w:vAlign w:val="center"/>
          </w:tcPr>
          <w:p w14:paraId="331890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  <w:t>学历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、资历</w:t>
            </w:r>
          </w:p>
        </w:tc>
        <w:tc>
          <w:tcPr>
            <w:tcW w:w="2199" w:type="dxa"/>
            <w:vAlign w:val="center"/>
          </w:tcPr>
          <w:p w14:paraId="1DADAB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 w14:paraId="195D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</w:trPr>
        <w:tc>
          <w:tcPr>
            <w:tcW w:w="812" w:type="dxa"/>
            <w:vAlign w:val="center"/>
          </w:tcPr>
          <w:p w14:paraId="06BC0AD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01</w:t>
            </w:r>
          </w:p>
          <w:p w14:paraId="62FBD0D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机电一体化技术专业教师</w:t>
            </w:r>
          </w:p>
        </w:tc>
        <w:tc>
          <w:tcPr>
            <w:tcW w:w="851" w:type="dxa"/>
            <w:vAlign w:val="center"/>
          </w:tcPr>
          <w:p w14:paraId="36095E93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5人</w:t>
            </w:r>
          </w:p>
        </w:tc>
        <w:tc>
          <w:tcPr>
            <w:tcW w:w="1207" w:type="dxa"/>
            <w:vAlign w:val="center"/>
          </w:tcPr>
          <w:p w14:paraId="32DE8CCE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1995年8月30日及以后出生</w:t>
            </w:r>
          </w:p>
          <w:p w14:paraId="718D2929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（30周岁以内）</w:t>
            </w:r>
          </w:p>
        </w:tc>
        <w:tc>
          <w:tcPr>
            <w:tcW w:w="1628" w:type="dxa"/>
            <w:vAlign w:val="center"/>
          </w:tcPr>
          <w:p w14:paraId="1DA5A2BF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机械工程、控制科学与工程、电气工程及自动化、软件工程及其相关专业</w:t>
            </w:r>
          </w:p>
          <w:p w14:paraId="3883655B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5C17661B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1.全日制硕士研究生及以上学历；</w:t>
            </w:r>
          </w:p>
          <w:p w14:paraId="24750C14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2.满足其他条件中任一项，学历可放宽至本科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</w:p>
        </w:tc>
        <w:tc>
          <w:tcPr>
            <w:tcW w:w="2199" w:type="dxa"/>
            <w:vAlign w:val="center"/>
          </w:tcPr>
          <w:p w14:paraId="690121AE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1.具备2年以上企业相关岗位工作经历或取得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中</w:t>
            </w:r>
            <w:r>
              <w:rPr>
                <w:rFonts w:hint="eastAsia" w:ascii="仿宋_GB2312" w:hAnsi="宋体" w:eastAsia="仿宋_GB2312"/>
                <w:szCs w:val="21"/>
              </w:rPr>
              <w:t>级以上专业技术职称；</w:t>
            </w:r>
          </w:p>
          <w:p w14:paraId="19220DFF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2.具有同类院校相关工作经验；</w:t>
            </w:r>
          </w:p>
          <w:p w14:paraId="5F35543E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3.具备自动化产线设计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</w:t>
            </w:r>
            <w:r>
              <w:rPr>
                <w:rFonts w:hint="eastAsia" w:ascii="仿宋_GB2312" w:hAnsi="宋体" w:eastAsia="仿宋_GB2312"/>
                <w:szCs w:val="21"/>
              </w:rPr>
              <w:t>专机设计与非标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设计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</w:t>
            </w:r>
            <w:r>
              <w:rPr>
                <w:rFonts w:hint="eastAsia" w:ascii="仿宋_GB2312" w:hAnsi="宋体" w:eastAsia="仿宋_GB2312"/>
                <w:szCs w:val="21"/>
              </w:rPr>
              <w:t>高端制造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</w:t>
            </w:r>
            <w:r>
              <w:rPr>
                <w:rFonts w:hint="eastAsia" w:ascii="仿宋_GB2312" w:hAnsi="宋体" w:eastAsia="仿宋_GB2312"/>
                <w:szCs w:val="21"/>
              </w:rPr>
              <w:t>工业互联网工程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</w:t>
            </w:r>
            <w:r>
              <w:rPr>
                <w:rFonts w:hint="eastAsia" w:ascii="仿宋_GB2312" w:hAnsi="宋体" w:eastAsia="仿宋_GB2312"/>
                <w:szCs w:val="21"/>
              </w:rPr>
              <w:t>数控机床改造与升级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</w:t>
            </w:r>
            <w:r>
              <w:rPr>
                <w:rFonts w:hint="eastAsia" w:ascii="仿宋_GB2312" w:hAnsi="宋体" w:eastAsia="仿宋_GB2312"/>
                <w:szCs w:val="21"/>
              </w:rPr>
              <w:t>多轴数控机床编程操作等领域专业能力。</w:t>
            </w:r>
          </w:p>
        </w:tc>
      </w:tr>
      <w:tr w14:paraId="01AF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12" w:type="dxa"/>
            <w:vAlign w:val="center"/>
          </w:tcPr>
          <w:p w14:paraId="5CFF9808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</w:t>
            </w:r>
          </w:p>
          <w:p w14:paraId="3BA0DAB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思想政治专业教师</w:t>
            </w:r>
          </w:p>
        </w:tc>
        <w:tc>
          <w:tcPr>
            <w:tcW w:w="851" w:type="dxa"/>
            <w:vAlign w:val="center"/>
          </w:tcPr>
          <w:p w14:paraId="691178C6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1人</w:t>
            </w:r>
          </w:p>
        </w:tc>
        <w:tc>
          <w:tcPr>
            <w:tcW w:w="1207" w:type="dxa"/>
            <w:vAlign w:val="center"/>
          </w:tcPr>
          <w:p w14:paraId="4FA8864E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1990年12月30日及以后出生</w:t>
            </w:r>
          </w:p>
          <w:p w14:paraId="0B7E4DCE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（35周岁以内）</w:t>
            </w:r>
          </w:p>
        </w:tc>
        <w:tc>
          <w:tcPr>
            <w:tcW w:w="1628" w:type="dxa"/>
            <w:vAlign w:val="center"/>
          </w:tcPr>
          <w:p w14:paraId="57CAC701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思想政治教育、历史学、马克思主义研究等相关专业</w:t>
            </w:r>
          </w:p>
        </w:tc>
        <w:tc>
          <w:tcPr>
            <w:tcW w:w="2058" w:type="dxa"/>
            <w:vAlign w:val="center"/>
          </w:tcPr>
          <w:p w14:paraId="3C30C614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全日制硕士研究生及以上学历。</w:t>
            </w:r>
          </w:p>
        </w:tc>
        <w:tc>
          <w:tcPr>
            <w:tcW w:w="2199" w:type="dxa"/>
            <w:vAlign w:val="center"/>
          </w:tcPr>
          <w:p w14:paraId="35D35AA9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1.热爱教育事业，能参与本学科教研教改及课题研究；</w:t>
            </w:r>
          </w:p>
          <w:p w14:paraId="493CFB53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2.具有中等职业学校或高级中学相关教师资格证优先。</w:t>
            </w:r>
          </w:p>
        </w:tc>
      </w:tr>
    </w:tbl>
    <w:p w14:paraId="077C10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01A6E5-F0BC-43E4-94F1-8449E3906A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D83250B-0A4E-48D4-B000-4EA977AB253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B605B63-42CE-4275-9EF9-FCD9B3F8E5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4B1CFA2-3D07-41B4-B69B-883F71BDC0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421FB"/>
    <w:rsid w:val="61EC7C5C"/>
    <w:rsid w:val="6BC4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392</Characters>
  <Lines>0</Lines>
  <Paragraphs>0</Paragraphs>
  <TotalTime>0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2025-12-31T00:49:00Z</dcterms:created>
  <dc:creator>默</dc:creator>
  <cp:lastModifiedBy>默</cp:lastModifiedBy>
  <dcterms:modified xsi:type="dcterms:W3CDTF">2025-12-31T00:53:50Z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B404AF224B95414689CE2C4B083E6E55_11</vt:lpwstr>
  </property>
  <property fmtid="{D5CDD505-2E9C-101B-9397-08002B2CF9AE}" pid="4" name="KSOTemplateDocerSaveRecord">
    <vt:lpwstr>eyJoZGlkIjoiNmJhYmUzMzI3YTE4MzU3ZDE2NDJhNTdlN2E3NWNhODgiLCJ1c2VySWQiOiI1ODU3OTYzMjEifQ==</vt:lpwstr>
  </property>
</Properties>
</file>