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99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/>
          <w:color w:val="auto"/>
          <w:spacing w:val="-6"/>
          <w:sz w:val="36"/>
          <w:szCs w:val="36"/>
        </w:rPr>
        <w:t>重庆飞驶特人力资源有限公司委托</w:t>
      </w:r>
      <w:r>
        <w:rPr>
          <w:rFonts w:hint="eastAsia" w:ascii="Times New Roman" w:hAnsi="Times New Roman" w:eastAsia="方正小标宋_GBK" w:cs="Times New Roman"/>
          <w:b/>
          <w:color w:val="auto"/>
          <w:spacing w:val="-6"/>
          <w:sz w:val="36"/>
          <w:szCs w:val="36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b/>
          <w:color w:val="auto"/>
          <w:spacing w:val="-6"/>
          <w:sz w:val="36"/>
          <w:szCs w:val="36"/>
        </w:rPr>
        <w:t>万州区人民法院</w:t>
      </w:r>
      <w:r>
        <w:rPr>
          <w:rFonts w:hint="default" w:ascii="Times New Roman" w:hAnsi="Times New Roman" w:eastAsia="方正小标宋_GBK" w:cs="Times New Roman"/>
          <w:b/>
          <w:color w:val="auto"/>
          <w:spacing w:val="-6"/>
          <w:sz w:val="36"/>
          <w:szCs w:val="36"/>
          <w:lang w:eastAsia="zh-CN"/>
        </w:rPr>
        <w:t>公开招聘</w:t>
      </w:r>
      <w:r>
        <w:rPr>
          <w:rFonts w:hint="eastAsia" w:ascii="Times New Roman" w:hAnsi="Times New Roman" w:eastAsia="方正小标宋_GBK" w:cs="Times New Roman"/>
          <w:b/>
          <w:color w:val="auto"/>
          <w:spacing w:val="-6"/>
          <w:sz w:val="36"/>
          <w:szCs w:val="36"/>
          <w:lang w:eastAsia="zh-CN"/>
        </w:rPr>
        <w:t>警务辅助人员</w:t>
      </w:r>
      <w:r>
        <w:rPr>
          <w:rFonts w:hint="default" w:ascii="Times New Roman" w:hAnsi="Times New Roman" w:eastAsia="方正小标宋_GBK" w:cs="Times New Roman"/>
          <w:b/>
          <w:color w:val="auto"/>
          <w:spacing w:val="-6"/>
          <w:sz w:val="36"/>
          <w:szCs w:val="36"/>
          <w:lang w:eastAsia="zh-CN"/>
        </w:rPr>
        <w:t>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根据工作需要，重庆飞驶特人力资源有限公司委托重庆市万州区人民法院公开招聘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派遣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制警务辅助人员。现将有关事项公告如下：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按照德才兼备的标准，坚持公开、公平、竞争、择优的原则招聘。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二、招聘职位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派遣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制警务辅助人员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性）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（一）具有中华人民共和国国籍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（二）拥护中华人民共和国宪法，遵守国家法律法规，品德端正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具有良好的政治素质和道德品德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）截止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日，取得专科及以上学历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）截止202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18周岁以上，38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周岁以下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）具有正常履行职责的身体条件。身体健康，体貌端正，无残疾、无重听、无口吃、无色盲、无纹身，颈部以上无明显疤痕，双眼裸眼视力均在4.8以上，身高17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cm以上；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须具有驾驶证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C1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证及以上资格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，驾龄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年以上，并能熟练驾驶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（七）法律、法规规定的其他条件；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具有烈士及因公牺牲的军人、人民警察遗属，退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伍军人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，退出国家综合性消防救援队伍的救援人员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同等条件下可优先录用。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（八）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有下列情形之一的，不得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报考法院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派遣制工作人员：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1.具有刑事犯罪、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司法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行政拘留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因卖淫嫖娼、赌博受过治安管理处罚或有吸毒史的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被开除公职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或被人民法院辞退的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因严重违纪违法受到党纪政务处分的；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被依法列为失信联合惩戒对象的；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具有其他不宜从事法院工作情形的；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四、报名初审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报名时间：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日（上午9: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-11:30，下午14: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--17:00）。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2.报名地点：重庆市万州区人民法院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3号楼大厅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3.报名所需材料：身份证、学历证书原件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并提供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复印件各1份，填写《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派遣制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警务辅助人员信息采集表》，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并贴上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近期2寸免冠照片。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1.考试分为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笔试、测试、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面试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笔试主要考察考生公共基础知识与文字表达能力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实行百分制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，成绩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60分以上为合格。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笔试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考试成绩于考试结束后5个工作日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内在“重庆万州法院”微信公众号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考试时间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地点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见“重庆万州法院”微信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公众号通知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测试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测试分体能测试与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eastAsia="zh-CN"/>
        </w:rPr>
        <w:t>驾驶技能测试，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实行百分制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，成绩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0分以上为合格。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</w:rPr>
        <w:t>体能测试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  <w:lang w:eastAsia="zh-CN"/>
        </w:rPr>
        <w:t>参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</w:rPr>
        <w:t>照《公安机关录用人民警察体能测评项目和标准(暂行)》执行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eastAsia="zh-CN"/>
        </w:rPr>
        <w:t>驾驶技能测试内容及规则于考试当日现场公布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考试时间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见“重庆万州法院”微信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公众号通知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主要考察考生的逻辑思维和语言表达能力，实行百分制，成绩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分以上为合格。从笔试成绩与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成绩合格人员中，依据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两者相加的总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成绩从高到低顺序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，按招聘计划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1：5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的比例确定参加面试人员，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若最后一名出现成绩相同情况则同时进入面试环节。若合格人员比例不足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1：5，以实际合格人数确定进入面试人选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面试时间、地点见“重庆万州法院”微信公众号通知。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在面试合格人员中，依据总成绩（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总成绩=笔试成绩×20%+体能测试成绩×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0%+驾驶技能成绩×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0%+面试成绩×20%）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从高到低顺序，按实际招聘人数确定参加体检人员。进入体检最后一名人员的总成绩出现并列的，则以体能考试成绩从高到低顺序确定体检人员。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体检时间、地点、有关要求另行通知。体检标准参照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人民警察录用有关标准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执行。体检费用由参加体检人员自行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承担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。因体检主动放弃或不合格而出现缺额的，在面试合格人员中按上述规则依次递补。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七、考察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体检合格人员列为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考察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对象。考察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参照《重庆市各级人民法院、人民检察院工作人员录用暂行办法》的规定实施，主要审查政治思想表现、道德品质、一贯现实表现及主要社会关系等情况。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八、公示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考察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合格人员确定为拟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派遣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在“重庆万州法院”微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信公众号公示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。公示内容包括招聘职位以及拟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派遣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人员的姓名、性别、出生年月、学历、学位、专业、工作单位（应届生为毕业院校）等证明符合报考条件的信息，接受社会监督。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九、签订合同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派遣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警务辅助人员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重庆飞驶特人力资源有限公司签订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用工合同。合同期限为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年（试用期为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）；合同期满，经双方协商一致，可以续聘。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派遣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警务辅助人员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基本工资、差旅费、福利待遇等按有关政策文件及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万州区人民法院相关规定执行。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日前，本院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警务辅助人员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岗位出现空缺的，可以在本次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合格人员中，依据总成绩从高到低顺序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以上述规则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进行补充。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十、联系方式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田老师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楷体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联系电话：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023-87666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报名地址：万州区沙龙路二段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附件：重庆市万州区人民法院派遣制警务辅助人员信息采集表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重庆市万州区人民法院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ind w:right="-594" w:rightChars="-283"/>
        <w:jc w:val="both"/>
        <w:rPr>
          <w:rFonts w:hint="default" w:ascii="Times New Roman" w:hAnsi="Times New Roman" w:eastAsia="方正小标宋_GBK" w:cs="Times New Roman"/>
          <w:b w:val="0"/>
          <w:bCs/>
          <w:color w:val="auto"/>
          <w:spacing w:val="-6"/>
          <w:sz w:val="44"/>
          <w:szCs w:val="44"/>
        </w:rPr>
      </w:pPr>
    </w:p>
    <w:p>
      <w:pPr>
        <w:spacing w:line="600" w:lineRule="exact"/>
        <w:ind w:left="-567" w:leftChars="-270" w:right="-594" w:rightChars="-283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pacing w:val="-6"/>
          <w:sz w:val="44"/>
          <w:szCs w:val="44"/>
        </w:rPr>
      </w:pPr>
    </w:p>
    <w:p>
      <w:pPr>
        <w:spacing w:line="600" w:lineRule="exact"/>
        <w:ind w:left="-567" w:leftChars="-270" w:right="-594" w:rightChars="-283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6"/>
          <w:sz w:val="44"/>
          <w:szCs w:val="44"/>
        </w:rPr>
        <w:t>重庆市万州区人民法院</w:t>
      </w:r>
    </w:p>
    <w:p>
      <w:pPr>
        <w:spacing w:line="600" w:lineRule="exact"/>
        <w:ind w:left="-567" w:leftChars="-270" w:right="-594" w:rightChars="-283"/>
        <w:jc w:val="center"/>
        <w:rPr>
          <w:rFonts w:hint="default" w:ascii="Times New Roman" w:hAnsi="Times New Roman" w:eastAsia="方正小标宋_GBK" w:cs="Times New Roman"/>
          <w:b/>
          <w:color w:val="auto"/>
          <w:spacing w:val="-6"/>
          <w:sz w:val="44"/>
          <w:szCs w:val="44"/>
          <w:u w:val="single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派遣制警务辅助人员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信息采集表</w:t>
      </w:r>
    </w:p>
    <w:tbl>
      <w:tblPr>
        <w:tblStyle w:val="4"/>
        <w:tblW w:w="1001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431"/>
        <w:gridCol w:w="539"/>
        <w:gridCol w:w="356"/>
        <w:gridCol w:w="253"/>
        <w:gridCol w:w="672"/>
        <w:gridCol w:w="407"/>
        <w:gridCol w:w="608"/>
        <w:gridCol w:w="123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  <w:t>（2寸免冠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  <w:t>照片）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民族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入党(团)时间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及职务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学历属性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是否通过国家统一法律职业资格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考试（原司法考试）及证书类型</w:t>
            </w:r>
          </w:p>
        </w:tc>
        <w:tc>
          <w:tcPr>
            <w:tcW w:w="4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是□   否□（打“√”）  类型：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联系电话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通讯地址及邮编</w:t>
            </w:r>
          </w:p>
        </w:tc>
        <w:tc>
          <w:tcPr>
            <w:tcW w:w="81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个人简历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(从高中填起)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工作（学习）单位及职务（身份）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pacing w:val="-2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同意报考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（有工作单位的由单位在该栏填写“同意报考”并加盖公章确认；无工作单位不填）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方正黑体_GBK" w:cs="Times New Roman"/>
                <w:bCs/>
                <w:color w:val="auto"/>
                <w:kern w:val="0"/>
                <w:sz w:val="22"/>
                <w:lang w:eastAsia="zh-CN"/>
              </w:rPr>
              <w:t>是否符合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2"/>
              </w:rPr>
              <w:t>优先录用</w:t>
            </w:r>
            <w:r>
              <w:rPr>
                <w:rFonts w:hint="eastAsia" w:eastAsia="方正黑体_GBK" w:cs="Times New Roman"/>
                <w:bCs/>
                <w:color w:val="auto"/>
                <w:kern w:val="0"/>
                <w:sz w:val="22"/>
                <w:lang w:eastAsia="zh-CN"/>
              </w:rPr>
              <w:t>情况</w:t>
            </w:r>
          </w:p>
        </w:tc>
        <w:tc>
          <w:tcPr>
            <w:tcW w:w="8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具有烈士及因公牺牲的军人、人民警察遗属，退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伍军人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，退出国家综合性消防救援队伍的救援人员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同等条件下可优先录用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spacing w:line="440" w:lineRule="exact"/>
        <w:ind w:left="-567" w:leftChars="-270" w:right="-758" w:rightChars="-361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24"/>
          <w:szCs w:val="24"/>
        </w:rPr>
        <w:t>注：本表必须如实填写。凡弄虚作假的，一经查实，即取消聘用资格。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CA6B5"/>
    <w:multiLevelType w:val="singleLevel"/>
    <w:tmpl w:val="A74CA6B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009DD"/>
    <w:rsid w:val="4A1947CF"/>
    <w:rsid w:val="BDF55E57"/>
    <w:rsid w:val="FB6D4343"/>
    <w:rsid w:val="FE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customStyle="1" w:styleId="3">
    <w:name w:val="默认"/>
    <w:qFormat/>
    <w:uiPriority w:val="0"/>
    <w:rPr>
      <w:rFonts w:ascii="Helvetica Neue" w:hAnsi="Arial Unicode MS" w:eastAsia="Helvetica Neue" w:cs="Times New Roman"/>
      <w:color w:val="000000"/>
      <w:sz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cqfy</cp:lastModifiedBy>
  <dcterms:modified xsi:type="dcterms:W3CDTF">2026-02-24T17:31:09Z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