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shd w:val="clear" w:color="auto" w:fill="FFFFFF"/>
        <w:tblLayout w:type="autofit"/>
        <w:tblCellMar>
          <w:top w:w="0" w:type="dxa"/>
          <w:left w:w="0" w:type="dxa"/>
          <w:bottom w:w="0" w:type="dxa"/>
          <w:right w:w="0" w:type="dxa"/>
        </w:tblCellMar>
      </w:tblPr>
      <w:tblGrid>
        <w:gridCol w:w="1008"/>
        <w:gridCol w:w="1277"/>
        <w:gridCol w:w="5568"/>
        <w:gridCol w:w="1276"/>
        <w:gridCol w:w="1337"/>
      </w:tblGrid>
      <w:tr w14:paraId="23110343">
        <w:tblPrEx>
          <w:shd w:val="clear" w:color="auto" w:fill="FFFFFF"/>
          <w:tblCellMar>
            <w:top w:w="0" w:type="dxa"/>
            <w:left w:w="0" w:type="dxa"/>
            <w:bottom w:w="0" w:type="dxa"/>
            <w:right w:w="0" w:type="dxa"/>
          </w:tblCellMar>
        </w:tblPrEx>
        <w:trPr>
          <w:gridAfter w:val="4"/>
          <w:wAfter w:w="9770" w:type="dxa"/>
          <w:trHeight w:val="330" w:hRule="atLeast"/>
          <w:jc w:val="center"/>
        </w:trPr>
        <w:tc>
          <w:tcPr>
            <w:tcW w:w="0" w:type="auto"/>
            <w:shd w:val="clear" w:color="auto" w:fill="FFFFFF"/>
            <w:vAlign w:val="center"/>
          </w:tcPr>
          <w:p w14:paraId="5BCB02AD">
            <w:pPr>
              <w:widowControl/>
              <w:rPr>
                <w:rFonts w:hint="eastAsia" w:ascii="宋体" w:hAnsi="宋体" w:eastAsia="方正小标宋简体" w:cs="宋体"/>
                <w:kern w:val="0"/>
                <w:sz w:val="24"/>
                <w:szCs w:val="24"/>
                <w:lang w:eastAsia="zh-CN"/>
              </w:rPr>
            </w:pPr>
            <w:r>
              <w:rPr>
                <w:rFonts w:ascii="Times New Roman" w:hAnsi="Times New Roman" w:eastAsia="方正小标宋简体" w:cs="Times New Roman"/>
                <w:color w:val="000000"/>
                <w:kern w:val="0"/>
                <w:sz w:val="32"/>
                <w:szCs w:val="32"/>
              </w:rPr>
              <w:t>附件</w:t>
            </w:r>
            <w:r>
              <w:rPr>
                <w:rFonts w:hint="eastAsia" w:ascii="黑体" w:hAnsi="黑体" w:eastAsia="黑体" w:cs="宋体"/>
                <w:color w:val="000000"/>
                <w:kern w:val="0"/>
                <w:sz w:val="32"/>
                <w:szCs w:val="32"/>
                <w:lang w:val="en-US" w:eastAsia="zh-CN"/>
              </w:rPr>
              <w:t>3</w:t>
            </w:r>
          </w:p>
        </w:tc>
      </w:tr>
      <w:tr w14:paraId="487B8216">
        <w:tblPrEx>
          <w:tblCellMar>
            <w:top w:w="0" w:type="dxa"/>
            <w:left w:w="0" w:type="dxa"/>
            <w:bottom w:w="0" w:type="dxa"/>
            <w:right w:w="0" w:type="dxa"/>
          </w:tblCellMar>
        </w:tblPrEx>
        <w:trPr>
          <w:trHeight w:val="3730" w:hRule="atLeast"/>
          <w:jc w:val="center"/>
        </w:trPr>
        <w:tc>
          <w:tcPr>
            <w:tcW w:w="9129" w:type="dxa"/>
            <w:gridSpan w:val="4"/>
            <w:shd w:val="clear" w:color="auto" w:fill="FFFFFF"/>
            <w:tcMar>
              <w:top w:w="0" w:type="dxa"/>
              <w:left w:w="108" w:type="dxa"/>
              <w:bottom w:w="0" w:type="dxa"/>
              <w:right w:w="108" w:type="dxa"/>
            </w:tcMar>
            <w:vAlign w:val="center"/>
          </w:tcPr>
          <w:p w14:paraId="1A2769C3">
            <w:pPr>
              <w:widowControl/>
              <w:jc w:val="center"/>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宣威鑫鸿人力资源开发有限公司202</w:t>
            </w:r>
            <w:r>
              <w:rPr>
                <w:rFonts w:hint="eastAsia" w:ascii="宋体" w:hAnsi="宋体" w:eastAsia="宋体" w:cs="Times New Roman"/>
                <w:color w:val="555555"/>
                <w:kern w:val="0"/>
                <w:sz w:val="28"/>
                <w:szCs w:val="28"/>
                <w:lang w:val="en-US" w:eastAsia="zh-CN"/>
              </w:rPr>
              <w:t>6</w:t>
            </w:r>
            <w:r>
              <w:rPr>
                <w:rFonts w:hint="eastAsia" w:ascii="宋体" w:hAnsi="宋体" w:eastAsia="宋体" w:cs="Times New Roman"/>
                <w:color w:val="555555"/>
                <w:kern w:val="0"/>
                <w:sz w:val="28"/>
                <w:szCs w:val="28"/>
              </w:rPr>
              <w:t>年公开招聘劳务派遣</w:t>
            </w:r>
          </w:p>
          <w:p w14:paraId="7D7AE1E0">
            <w:pPr>
              <w:widowControl/>
              <w:jc w:val="center"/>
              <w:rPr>
                <w:rFonts w:hint="eastAsia" w:ascii="微软雅黑" w:hAnsi="微软雅黑" w:eastAsia="微软雅黑" w:cs="宋体"/>
                <w:color w:val="555555"/>
                <w:kern w:val="0"/>
                <w:sz w:val="24"/>
                <w:szCs w:val="24"/>
              </w:rPr>
            </w:pPr>
            <w:r>
              <w:rPr>
                <w:rFonts w:hint="eastAsia" w:ascii="宋体" w:hAnsi="宋体" w:eastAsia="宋体" w:cs="Times New Roman"/>
                <w:color w:val="555555"/>
                <w:kern w:val="0"/>
                <w:sz w:val="28"/>
                <w:szCs w:val="28"/>
              </w:rPr>
              <w:t>专业技术人员经历业绩评分表</w:t>
            </w:r>
          </w:p>
        </w:tc>
        <w:tc>
          <w:tcPr>
            <w:tcW w:w="1337" w:type="dxa"/>
            <w:shd w:val="clear" w:color="auto" w:fill="FFFFFF"/>
            <w:vAlign w:val="center"/>
          </w:tcPr>
          <w:p w14:paraId="2728CFEB">
            <w:pPr>
              <w:widowControl/>
              <w:jc w:val="left"/>
              <w:rPr>
                <w:rFonts w:hint="eastAsia" w:ascii="微软雅黑" w:hAnsi="微软雅黑" w:eastAsia="微软雅黑" w:cs="宋体"/>
                <w:color w:val="555555"/>
                <w:kern w:val="0"/>
                <w:sz w:val="24"/>
                <w:szCs w:val="24"/>
              </w:rPr>
            </w:pPr>
          </w:p>
        </w:tc>
      </w:tr>
      <w:tr w14:paraId="024570A5">
        <w:tblPrEx>
          <w:tblCellMar>
            <w:top w:w="0" w:type="dxa"/>
            <w:left w:w="0" w:type="dxa"/>
            <w:bottom w:w="0" w:type="dxa"/>
            <w:right w:w="0" w:type="dxa"/>
          </w:tblCellMar>
        </w:tblPrEx>
        <w:trPr>
          <w:trHeight w:val="630"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7B0D7">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分项评价</w:t>
            </w:r>
          </w:p>
        </w:tc>
        <w:tc>
          <w:tcPr>
            <w:tcW w:w="55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78B50E">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业绩评价内容与分值</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55DB1">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备注</w:t>
            </w:r>
          </w:p>
        </w:tc>
        <w:tc>
          <w:tcPr>
            <w:tcW w:w="1337" w:type="dxa"/>
            <w:shd w:val="clear" w:color="auto" w:fill="FFFFFF"/>
            <w:vAlign w:val="center"/>
          </w:tcPr>
          <w:p w14:paraId="3863086B">
            <w:pPr>
              <w:widowControl/>
              <w:jc w:val="left"/>
              <w:rPr>
                <w:rFonts w:hint="eastAsia" w:ascii="微软雅黑" w:hAnsi="微软雅黑" w:eastAsia="微软雅黑" w:cs="宋体"/>
                <w:color w:val="555555"/>
                <w:kern w:val="0"/>
                <w:sz w:val="24"/>
                <w:szCs w:val="24"/>
              </w:rPr>
            </w:pPr>
          </w:p>
        </w:tc>
      </w:tr>
      <w:tr w14:paraId="6501ADD2">
        <w:tblPrEx>
          <w:tblCellMar>
            <w:top w:w="0" w:type="dxa"/>
            <w:left w:w="0" w:type="dxa"/>
            <w:bottom w:w="0" w:type="dxa"/>
            <w:right w:w="0" w:type="dxa"/>
          </w:tblCellMar>
        </w:tblPrEx>
        <w:trPr>
          <w:trHeight w:val="539" w:hRule="atLeast"/>
          <w:jc w:val="center"/>
        </w:trPr>
        <w:tc>
          <w:tcPr>
            <w:tcW w:w="0" w:type="auto"/>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B445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555555"/>
                <w:kern w:val="0"/>
                <w:sz w:val="20"/>
                <w:szCs w:val="20"/>
              </w:rPr>
              <w:t>个人总结30分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A23D3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总结需着重阐述学习、实习、工作等经历，必须是报考人员亲自手写材料</w:t>
            </w:r>
          </w:p>
        </w:tc>
        <w:tc>
          <w:tcPr>
            <w:tcW w:w="127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06ECE718">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　</w:t>
            </w:r>
          </w:p>
        </w:tc>
        <w:tc>
          <w:tcPr>
            <w:tcW w:w="1337" w:type="dxa"/>
            <w:shd w:val="clear" w:color="auto" w:fill="FFFFFF"/>
            <w:vAlign w:val="center"/>
          </w:tcPr>
          <w:p w14:paraId="761E4593">
            <w:pPr>
              <w:widowControl/>
              <w:jc w:val="left"/>
              <w:rPr>
                <w:rFonts w:hint="eastAsia" w:ascii="微软雅黑" w:hAnsi="微软雅黑" w:eastAsia="微软雅黑" w:cs="宋体"/>
                <w:color w:val="555555"/>
                <w:kern w:val="0"/>
                <w:sz w:val="24"/>
                <w:szCs w:val="24"/>
              </w:rPr>
            </w:pPr>
          </w:p>
        </w:tc>
      </w:tr>
      <w:tr w14:paraId="53F43EA7">
        <w:tblPrEx>
          <w:tblCellMar>
            <w:top w:w="0" w:type="dxa"/>
            <w:left w:w="0" w:type="dxa"/>
            <w:bottom w:w="0" w:type="dxa"/>
            <w:right w:w="0" w:type="dxa"/>
          </w:tblCellMar>
        </w:tblPrEx>
        <w:trPr>
          <w:trHeight w:val="320" w:hRule="atLeast"/>
          <w:jc w:val="center"/>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4163E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岗位评分项标准70分</w:t>
            </w: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8C4A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学历因素10分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C0D6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1.取得研究生学历，加8分；获得硕士学位另加2分。</w:t>
            </w:r>
          </w:p>
        </w:tc>
        <w:tc>
          <w:tcPr>
            <w:tcW w:w="127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91C223">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以学历证书及学信网学历电子注册备案表为准，多个学历按最高学历计算。</w:t>
            </w:r>
          </w:p>
        </w:tc>
        <w:tc>
          <w:tcPr>
            <w:tcW w:w="1337" w:type="dxa"/>
            <w:shd w:val="clear" w:color="auto" w:fill="FFFFFF"/>
            <w:vAlign w:val="center"/>
          </w:tcPr>
          <w:p w14:paraId="21FF22BE">
            <w:pPr>
              <w:widowControl/>
              <w:jc w:val="left"/>
              <w:rPr>
                <w:rFonts w:hint="eastAsia" w:ascii="微软雅黑" w:hAnsi="微软雅黑" w:eastAsia="微软雅黑" w:cs="宋体"/>
                <w:color w:val="555555"/>
                <w:kern w:val="0"/>
                <w:sz w:val="24"/>
                <w:szCs w:val="24"/>
              </w:rPr>
            </w:pPr>
          </w:p>
        </w:tc>
      </w:tr>
      <w:tr w14:paraId="33FA477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5C0E6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2AAD11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FE77A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2.取得全日制本科学历，加6分;获得学士学位另加1分。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E17694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47547B3">
            <w:pPr>
              <w:widowControl/>
              <w:jc w:val="left"/>
              <w:rPr>
                <w:rFonts w:hint="eastAsia" w:ascii="微软雅黑" w:hAnsi="微软雅黑" w:eastAsia="微软雅黑" w:cs="宋体"/>
                <w:color w:val="555555"/>
                <w:kern w:val="0"/>
                <w:sz w:val="24"/>
                <w:szCs w:val="24"/>
              </w:rPr>
            </w:pPr>
          </w:p>
        </w:tc>
      </w:tr>
      <w:tr w14:paraId="711AC09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0DC90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94F880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0463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3.全日制专科毕业并取得在职教育（自学考试）本科学历，加5分。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B240CB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7F7DBB3">
            <w:pPr>
              <w:widowControl/>
              <w:jc w:val="left"/>
              <w:rPr>
                <w:rFonts w:hint="eastAsia" w:ascii="微软雅黑" w:hAnsi="微软雅黑" w:eastAsia="微软雅黑" w:cs="宋体"/>
                <w:color w:val="555555"/>
                <w:kern w:val="0"/>
                <w:sz w:val="24"/>
                <w:szCs w:val="24"/>
              </w:rPr>
            </w:pPr>
          </w:p>
        </w:tc>
      </w:tr>
      <w:tr w14:paraId="26EB370D">
        <w:tblPrEx>
          <w:tblCellMar>
            <w:top w:w="0" w:type="dxa"/>
            <w:left w:w="0" w:type="dxa"/>
            <w:bottom w:w="0" w:type="dxa"/>
            <w:right w:w="0" w:type="dxa"/>
          </w:tblCellMar>
        </w:tblPrEx>
        <w:trPr>
          <w:trHeight w:val="210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A69F328">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1E812A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5DE62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lang w:val="en-US" w:eastAsia="zh-CN"/>
              </w:rPr>
              <w:t>4</w:t>
            </w:r>
            <w:r>
              <w:rPr>
                <w:rFonts w:hint="eastAsia" w:ascii="仿宋" w:hAnsi="仿宋" w:eastAsia="仿宋" w:cs="宋体"/>
                <w:color w:val="000000"/>
                <w:kern w:val="0"/>
                <w:sz w:val="20"/>
                <w:szCs w:val="20"/>
              </w:rPr>
              <w:t>.取得全日制专科学历，加4分。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9823F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06275C4">
            <w:pPr>
              <w:widowControl/>
              <w:jc w:val="left"/>
              <w:rPr>
                <w:rFonts w:hint="eastAsia" w:ascii="微软雅黑" w:hAnsi="微软雅黑" w:eastAsia="微软雅黑" w:cs="宋体"/>
                <w:color w:val="555555"/>
                <w:kern w:val="0"/>
                <w:sz w:val="24"/>
                <w:szCs w:val="24"/>
              </w:rPr>
            </w:pPr>
          </w:p>
        </w:tc>
      </w:tr>
      <w:tr w14:paraId="1C40285A">
        <w:tblPrEx>
          <w:tblCellMar>
            <w:top w:w="0" w:type="dxa"/>
            <w:left w:w="0" w:type="dxa"/>
            <w:bottom w:w="0" w:type="dxa"/>
            <w:right w:w="0" w:type="dxa"/>
          </w:tblCellMar>
        </w:tblPrEx>
        <w:trPr>
          <w:trHeight w:val="6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113227">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2A8F2">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专业技术职称7分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E476D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1．取得对应招聘岗位初级师及以上专业技术职称资格证，加6分。取得每满1年另加0.5分，最高加1分。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035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以提交的有效证书、文件为准，（以加分小项最高分计算，不累计计算）。</w:t>
            </w:r>
          </w:p>
        </w:tc>
        <w:tc>
          <w:tcPr>
            <w:tcW w:w="1337" w:type="dxa"/>
            <w:shd w:val="clear" w:color="auto" w:fill="FFFFFF"/>
            <w:vAlign w:val="center"/>
          </w:tcPr>
          <w:p w14:paraId="7E418848">
            <w:pPr>
              <w:widowControl/>
              <w:jc w:val="left"/>
              <w:rPr>
                <w:rFonts w:hint="eastAsia" w:ascii="微软雅黑" w:hAnsi="微软雅黑" w:eastAsia="微软雅黑" w:cs="宋体"/>
                <w:color w:val="555555"/>
                <w:kern w:val="0"/>
                <w:sz w:val="24"/>
                <w:szCs w:val="24"/>
              </w:rPr>
            </w:pPr>
          </w:p>
        </w:tc>
      </w:tr>
      <w:tr w14:paraId="0DA706B2">
        <w:tblPrEx>
          <w:tblCellMar>
            <w:top w:w="0" w:type="dxa"/>
            <w:left w:w="0" w:type="dxa"/>
            <w:bottom w:w="0" w:type="dxa"/>
            <w:right w:w="0" w:type="dxa"/>
          </w:tblCellMar>
        </w:tblPrEx>
        <w:trPr>
          <w:trHeight w:val="2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75E8CF">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DD53B1B">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4430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2．取得对应招聘岗位初级（士）专业技术职称资格证，加5分。取得每满1年另加0.5分，最高加1分。</w:t>
            </w:r>
          </w:p>
        </w:tc>
        <w:tc>
          <w:tcPr>
            <w:tcW w:w="1276" w:type="dxa"/>
            <w:vMerge w:val="continue"/>
            <w:tcBorders>
              <w:top w:val="nil"/>
              <w:left w:val="nil"/>
              <w:bottom w:val="single" w:color="auto" w:sz="8" w:space="0"/>
              <w:right w:val="single" w:color="auto" w:sz="8" w:space="0"/>
            </w:tcBorders>
            <w:shd w:val="clear" w:color="auto" w:fill="FFFFFF"/>
            <w:vAlign w:val="center"/>
          </w:tcPr>
          <w:p w14:paraId="028E68E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B98EBEA">
            <w:pPr>
              <w:widowControl/>
              <w:jc w:val="left"/>
              <w:rPr>
                <w:rFonts w:hint="eastAsia" w:ascii="微软雅黑" w:hAnsi="微软雅黑" w:eastAsia="微软雅黑" w:cs="宋体"/>
                <w:color w:val="555555"/>
                <w:kern w:val="0"/>
                <w:sz w:val="24"/>
                <w:szCs w:val="24"/>
              </w:rPr>
            </w:pPr>
          </w:p>
        </w:tc>
      </w:tr>
      <w:tr w14:paraId="2E64E3F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724CF1">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096159">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学习成长、工作业绩10分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3E9075">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1．所学专业与招聘岗位要求一致的，加5分。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F196D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以提交的有效证件为准（以加分小项累计计算）。</w:t>
            </w:r>
          </w:p>
        </w:tc>
        <w:tc>
          <w:tcPr>
            <w:tcW w:w="1337" w:type="dxa"/>
            <w:shd w:val="clear" w:color="auto" w:fill="FFFFFF"/>
            <w:vAlign w:val="center"/>
          </w:tcPr>
          <w:p w14:paraId="1FB8943B">
            <w:pPr>
              <w:widowControl/>
              <w:jc w:val="left"/>
              <w:rPr>
                <w:rFonts w:hint="eastAsia" w:ascii="微软雅黑" w:hAnsi="微软雅黑" w:eastAsia="微软雅黑" w:cs="宋体"/>
                <w:color w:val="555555"/>
                <w:kern w:val="0"/>
                <w:sz w:val="24"/>
                <w:szCs w:val="24"/>
              </w:rPr>
            </w:pPr>
          </w:p>
        </w:tc>
      </w:tr>
      <w:tr w14:paraId="4DE840FC">
        <w:tblPrEx>
          <w:tblCellMar>
            <w:top w:w="0" w:type="dxa"/>
            <w:left w:w="0" w:type="dxa"/>
            <w:bottom w:w="0" w:type="dxa"/>
            <w:right w:w="0" w:type="dxa"/>
          </w:tblCellMar>
        </w:tblPrEx>
        <w:trPr>
          <w:trHeight w:val="15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E48A8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1CCBFAA">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B250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现从事工作与招聘岗位要求一致，加5分（需要注册执业证书的专业岗位，时间以卫生健康局注册的执业证书登记时间为准，执业证书必须是注册在医疗机构为有效，注册时间必须是在招聘公告发布的前一天)，报考其他专业岗位的以资格证书取得时间为准。未取得资格证书和执业证书的不视为现从事工作与招聘岗位要求一致。</w:t>
            </w:r>
            <w:bookmarkStart w:id="0" w:name="_GoBack"/>
            <w:bookmarkEnd w:id="0"/>
          </w:p>
        </w:tc>
        <w:tc>
          <w:tcPr>
            <w:tcW w:w="1276" w:type="dxa"/>
            <w:vMerge w:val="continue"/>
            <w:tcBorders>
              <w:top w:val="nil"/>
              <w:left w:val="nil"/>
              <w:bottom w:val="single" w:color="auto" w:sz="8" w:space="0"/>
              <w:right w:val="single" w:color="auto" w:sz="8" w:space="0"/>
            </w:tcBorders>
            <w:shd w:val="clear" w:color="auto" w:fill="FFFFFF"/>
            <w:vAlign w:val="center"/>
          </w:tcPr>
          <w:p w14:paraId="1CF0E6A8">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7C4672D0">
            <w:pPr>
              <w:widowControl/>
              <w:jc w:val="left"/>
              <w:rPr>
                <w:rFonts w:hint="eastAsia" w:ascii="微软雅黑" w:hAnsi="微软雅黑" w:eastAsia="微软雅黑" w:cs="宋体"/>
                <w:color w:val="555555"/>
                <w:kern w:val="0"/>
                <w:sz w:val="24"/>
                <w:szCs w:val="24"/>
              </w:rPr>
            </w:pPr>
          </w:p>
        </w:tc>
      </w:tr>
      <w:tr w14:paraId="77D8A32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DDE333">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974A6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表彰</w:t>
            </w:r>
            <w:r>
              <w:rPr>
                <w:rFonts w:hint="eastAsia" w:ascii="仿宋" w:hAnsi="仿宋" w:eastAsia="仿宋" w:cs="宋体"/>
                <w:color w:val="000000"/>
                <w:kern w:val="0"/>
                <w:sz w:val="20"/>
                <w:szCs w:val="20"/>
                <w:lang w:eastAsia="zh-CN"/>
              </w:rPr>
              <w:t>、</w:t>
            </w:r>
            <w:r>
              <w:rPr>
                <w:rFonts w:hint="eastAsia" w:ascii="仿宋" w:hAnsi="仿宋" w:eastAsia="仿宋" w:cs="宋体"/>
                <w:color w:val="000000"/>
                <w:kern w:val="0"/>
                <w:sz w:val="20"/>
                <w:szCs w:val="20"/>
              </w:rPr>
              <w:t>奖励等因素35分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F24D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1.获得国家励志奖学金，加4分。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E6FD8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以提交的有效文件或公示、证书为准，校级的表彰</w:t>
            </w:r>
            <w:r>
              <w:rPr>
                <w:rFonts w:hint="eastAsia" w:ascii="仿宋" w:hAnsi="仿宋" w:eastAsia="仿宋" w:cs="宋体"/>
                <w:color w:val="000000"/>
                <w:kern w:val="0"/>
                <w:sz w:val="20"/>
                <w:szCs w:val="20"/>
                <w:lang w:eastAsia="zh-CN"/>
              </w:rPr>
              <w:t>、</w:t>
            </w:r>
            <w:r>
              <w:rPr>
                <w:rFonts w:hint="eastAsia" w:ascii="仿宋" w:hAnsi="仿宋" w:eastAsia="仿宋" w:cs="宋体"/>
                <w:color w:val="000000"/>
                <w:kern w:val="0"/>
                <w:sz w:val="20"/>
                <w:szCs w:val="20"/>
              </w:rPr>
              <w:t>奖励必须是在本人提供的毕业证书载明的在校时间内未有效（累计计算）。</w:t>
            </w:r>
          </w:p>
        </w:tc>
        <w:tc>
          <w:tcPr>
            <w:tcW w:w="1337" w:type="dxa"/>
            <w:shd w:val="clear" w:color="auto" w:fill="FFFFFF"/>
            <w:vAlign w:val="center"/>
          </w:tcPr>
          <w:p w14:paraId="678947AF">
            <w:pPr>
              <w:widowControl/>
              <w:jc w:val="left"/>
              <w:rPr>
                <w:rFonts w:hint="eastAsia" w:ascii="微软雅黑" w:hAnsi="微软雅黑" w:eastAsia="微软雅黑" w:cs="宋体"/>
                <w:color w:val="555555"/>
                <w:kern w:val="0"/>
                <w:sz w:val="24"/>
                <w:szCs w:val="24"/>
              </w:rPr>
            </w:pPr>
          </w:p>
        </w:tc>
      </w:tr>
      <w:tr w14:paraId="7E2F7F4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294AC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57CF3A4">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1B66C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2.获得国家奖学金，加4分。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6DE2B74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884C924">
            <w:pPr>
              <w:widowControl/>
              <w:jc w:val="left"/>
              <w:rPr>
                <w:rFonts w:hint="eastAsia" w:ascii="微软雅黑" w:hAnsi="微软雅黑" w:eastAsia="微软雅黑" w:cs="宋体"/>
                <w:color w:val="555555"/>
                <w:kern w:val="0"/>
                <w:sz w:val="24"/>
                <w:szCs w:val="24"/>
              </w:rPr>
            </w:pPr>
          </w:p>
        </w:tc>
      </w:tr>
      <w:tr w14:paraId="5A4CC8FE">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8C6F52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975375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6D25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3.获得国家级技能竞赛奖，加4分。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7A5127F0">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E8C8D2D">
            <w:pPr>
              <w:widowControl/>
              <w:jc w:val="left"/>
              <w:rPr>
                <w:rFonts w:hint="eastAsia" w:ascii="微软雅黑" w:hAnsi="微软雅黑" w:eastAsia="微软雅黑" w:cs="宋体"/>
                <w:color w:val="555555"/>
                <w:kern w:val="0"/>
                <w:sz w:val="24"/>
                <w:szCs w:val="24"/>
              </w:rPr>
            </w:pPr>
          </w:p>
        </w:tc>
      </w:tr>
      <w:tr w14:paraId="68B84D7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29377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05D605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EFEC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4.获得省级三好学生，加3分。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57E322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E61CF94">
            <w:pPr>
              <w:widowControl/>
              <w:jc w:val="left"/>
              <w:rPr>
                <w:rFonts w:hint="eastAsia" w:ascii="微软雅黑" w:hAnsi="微软雅黑" w:eastAsia="微软雅黑" w:cs="宋体"/>
                <w:color w:val="555555"/>
                <w:kern w:val="0"/>
                <w:sz w:val="24"/>
                <w:szCs w:val="24"/>
              </w:rPr>
            </w:pPr>
          </w:p>
        </w:tc>
      </w:tr>
      <w:tr w14:paraId="6C8237B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C9CC52">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DDD1717">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201E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5.获得省级优秀学生（会）干部，加3分。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D070FF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C79B19">
            <w:pPr>
              <w:widowControl/>
              <w:jc w:val="left"/>
              <w:rPr>
                <w:rFonts w:hint="eastAsia" w:ascii="微软雅黑" w:hAnsi="微软雅黑" w:eastAsia="微软雅黑" w:cs="宋体"/>
                <w:color w:val="555555"/>
                <w:kern w:val="0"/>
                <w:sz w:val="24"/>
                <w:szCs w:val="24"/>
              </w:rPr>
            </w:pPr>
          </w:p>
        </w:tc>
      </w:tr>
      <w:tr w14:paraId="73C84BD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3A787A0">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932F24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B939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6.获得省级优秀毕业生，加3分。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71699A3">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B9B3976">
            <w:pPr>
              <w:widowControl/>
              <w:jc w:val="left"/>
              <w:rPr>
                <w:rFonts w:hint="eastAsia" w:ascii="微软雅黑" w:hAnsi="微软雅黑" w:eastAsia="微软雅黑" w:cs="宋体"/>
                <w:color w:val="555555"/>
                <w:kern w:val="0"/>
                <w:sz w:val="24"/>
                <w:szCs w:val="24"/>
              </w:rPr>
            </w:pPr>
          </w:p>
        </w:tc>
      </w:tr>
      <w:tr w14:paraId="0AEC61DA">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4084AD">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B9ACA4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F2A58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7.获得省级励志奖学金，加3分。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60A96B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A00F0F3">
            <w:pPr>
              <w:widowControl/>
              <w:jc w:val="left"/>
              <w:rPr>
                <w:rFonts w:hint="eastAsia" w:ascii="微软雅黑" w:hAnsi="微软雅黑" w:eastAsia="微软雅黑" w:cs="宋体"/>
                <w:color w:val="555555"/>
                <w:kern w:val="0"/>
                <w:sz w:val="24"/>
                <w:szCs w:val="24"/>
              </w:rPr>
            </w:pPr>
          </w:p>
        </w:tc>
      </w:tr>
      <w:tr w14:paraId="1E6BAE41">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C021B7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7FC032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DE4F7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8.获得省级政府励志奖学金，加3分。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79E93D8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34CF64B">
            <w:pPr>
              <w:widowControl/>
              <w:jc w:val="left"/>
              <w:rPr>
                <w:rFonts w:hint="eastAsia" w:ascii="微软雅黑" w:hAnsi="微软雅黑" w:eastAsia="微软雅黑" w:cs="宋体"/>
                <w:color w:val="555555"/>
                <w:kern w:val="0"/>
                <w:sz w:val="24"/>
                <w:szCs w:val="24"/>
              </w:rPr>
            </w:pPr>
          </w:p>
        </w:tc>
      </w:tr>
      <w:tr w14:paraId="68C5D8A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27242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9185A25">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7103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9.获得校级三好学生，加2分。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0039B1C9">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68FEEB8">
            <w:pPr>
              <w:widowControl/>
              <w:jc w:val="left"/>
              <w:rPr>
                <w:rFonts w:hint="eastAsia" w:ascii="微软雅黑" w:hAnsi="微软雅黑" w:eastAsia="微软雅黑" w:cs="宋体"/>
                <w:color w:val="555555"/>
                <w:kern w:val="0"/>
                <w:sz w:val="24"/>
                <w:szCs w:val="24"/>
              </w:rPr>
            </w:pPr>
          </w:p>
        </w:tc>
      </w:tr>
      <w:tr w14:paraId="7AD5B0D9">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D950071">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7BC7398">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25A9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10.获得校级优秀学生（会）干部，加2分。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16E94FC7">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D777F22">
            <w:pPr>
              <w:widowControl/>
              <w:jc w:val="left"/>
              <w:rPr>
                <w:rFonts w:hint="eastAsia" w:ascii="微软雅黑" w:hAnsi="微软雅黑" w:eastAsia="微软雅黑" w:cs="宋体"/>
                <w:color w:val="555555"/>
                <w:kern w:val="0"/>
                <w:sz w:val="24"/>
                <w:szCs w:val="24"/>
              </w:rPr>
            </w:pPr>
          </w:p>
        </w:tc>
      </w:tr>
      <w:tr w14:paraId="0AE8E504">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D7A8F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AB0742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45ED3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11.获得校级优秀毕业生，加2分。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2A0EF0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873FDD5">
            <w:pPr>
              <w:widowControl/>
              <w:jc w:val="left"/>
              <w:rPr>
                <w:rFonts w:hint="eastAsia" w:ascii="微软雅黑" w:hAnsi="微软雅黑" w:eastAsia="微软雅黑" w:cs="宋体"/>
                <w:color w:val="555555"/>
                <w:kern w:val="0"/>
                <w:sz w:val="24"/>
                <w:szCs w:val="24"/>
              </w:rPr>
            </w:pPr>
          </w:p>
        </w:tc>
      </w:tr>
      <w:tr w14:paraId="462D834B">
        <w:tblPrEx>
          <w:tblCellMar>
            <w:top w:w="0" w:type="dxa"/>
            <w:left w:w="0" w:type="dxa"/>
            <w:bottom w:w="0" w:type="dxa"/>
            <w:right w:w="0" w:type="dxa"/>
          </w:tblCellMar>
        </w:tblPrEx>
        <w:trPr>
          <w:trHeight w:val="138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58E5C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C4B3BC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82F64">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12.中国共产党党员，加2分。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492B486E">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096A210">
            <w:pPr>
              <w:widowControl/>
              <w:jc w:val="left"/>
              <w:rPr>
                <w:rFonts w:hint="eastAsia" w:ascii="微软雅黑" w:hAnsi="微软雅黑" w:eastAsia="微软雅黑" w:cs="宋体"/>
                <w:color w:val="555555"/>
                <w:kern w:val="0"/>
                <w:sz w:val="24"/>
                <w:szCs w:val="24"/>
              </w:rPr>
            </w:pPr>
          </w:p>
        </w:tc>
      </w:tr>
      <w:tr w14:paraId="7D9E17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687799A">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86958E">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工作适应能力8分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29CC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1.到省级医院进修时间累计满3个月，加6分，满6个月及以上，加8分。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5933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以提交的有效证件为准（不累计计算）。</w:t>
            </w:r>
          </w:p>
        </w:tc>
        <w:tc>
          <w:tcPr>
            <w:tcW w:w="1337" w:type="dxa"/>
            <w:shd w:val="clear" w:color="auto" w:fill="FFFFFF"/>
            <w:vAlign w:val="center"/>
          </w:tcPr>
          <w:p w14:paraId="6F1D9782">
            <w:pPr>
              <w:widowControl/>
              <w:jc w:val="left"/>
              <w:rPr>
                <w:rFonts w:hint="eastAsia" w:ascii="微软雅黑" w:hAnsi="微软雅黑" w:eastAsia="微软雅黑" w:cs="宋体"/>
                <w:color w:val="555555"/>
                <w:kern w:val="0"/>
                <w:sz w:val="24"/>
                <w:szCs w:val="24"/>
              </w:rPr>
            </w:pPr>
          </w:p>
        </w:tc>
      </w:tr>
      <w:tr w14:paraId="5F2D33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B9A54">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00AE70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90CF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2.到地级医院进修时间累计满3个月，加4分，满6个月及以上，加6分。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2413F45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7CE109">
            <w:pPr>
              <w:widowControl/>
              <w:jc w:val="left"/>
              <w:rPr>
                <w:rFonts w:hint="eastAsia" w:ascii="微软雅黑" w:hAnsi="微软雅黑" w:eastAsia="微软雅黑" w:cs="宋体"/>
                <w:color w:val="555555"/>
                <w:kern w:val="0"/>
                <w:sz w:val="24"/>
                <w:szCs w:val="24"/>
              </w:rPr>
            </w:pPr>
          </w:p>
        </w:tc>
      </w:tr>
      <w:tr w14:paraId="4207A796">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0D748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0AF598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35DF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3.到县级医院进修累时间累计满3个月的，加2分，满6个月及以上的，加4分。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3FDB6F0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1B70855">
            <w:pPr>
              <w:widowControl/>
              <w:jc w:val="left"/>
              <w:rPr>
                <w:rFonts w:hint="eastAsia" w:ascii="微软雅黑" w:hAnsi="微软雅黑" w:eastAsia="微软雅黑" w:cs="宋体"/>
                <w:color w:val="555555"/>
                <w:kern w:val="0"/>
                <w:sz w:val="24"/>
                <w:szCs w:val="24"/>
              </w:rPr>
            </w:pPr>
          </w:p>
        </w:tc>
      </w:tr>
      <w:tr w14:paraId="36A00AF0">
        <w:tblPrEx>
          <w:tblCellMar>
            <w:top w:w="0" w:type="dxa"/>
            <w:left w:w="0" w:type="dxa"/>
            <w:bottom w:w="0" w:type="dxa"/>
            <w:right w:w="0" w:type="dxa"/>
          </w:tblCellMar>
        </w:tblPrEx>
        <w:trPr>
          <w:trHeight w:val="3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60923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7C07DE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91E5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4.取得专科护士培训合格证书的，加6分。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4855C5AD">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1D95622">
            <w:pPr>
              <w:widowControl/>
              <w:jc w:val="left"/>
              <w:rPr>
                <w:rFonts w:hint="eastAsia" w:ascii="微软雅黑" w:hAnsi="微软雅黑" w:eastAsia="微软雅黑" w:cs="宋体"/>
                <w:color w:val="555555"/>
                <w:kern w:val="0"/>
                <w:sz w:val="24"/>
                <w:szCs w:val="24"/>
              </w:rPr>
            </w:pPr>
          </w:p>
        </w:tc>
      </w:tr>
    </w:tbl>
    <w:p w14:paraId="5AC54EEC">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DUzM2NjOTliMGZmMzkwNGIzYjY3ZjMyZjJiNjIifQ=="/>
  </w:docVars>
  <w:rsids>
    <w:rsidRoot w:val="00D25F45"/>
    <w:rsid w:val="001B0018"/>
    <w:rsid w:val="00496681"/>
    <w:rsid w:val="00B14FB4"/>
    <w:rsid w:val="00B67794"/>
    <w:rsid w:val="00D25F45"/>
    <w:rsid w:val="00DA6EC6"/>
    <w:rsid w:val="2D2C761B"/>
    <w:rsid w:val="327655FA"/>
    <w:rsid w:val="33C30B3D"/>
    <w:rsid w:val="3849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967</Words>
  <Characters>1002</Characters>
  <Lines>95</Lines>
  <Paragraphs>26</Paragraphs>
  <TotalTime>3</TotalTime>
  <ScaleCrop>false</ScaleCrop>
  <LinksUpToDate>false</LinksUpToDate>
  <CharactersWithSpaces>1003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2025-09-17T02:29:00Z</dcterms:created>
  <dc:creator>彦玲 徐</dc:creator>
  <cp:lastModifiedBy>李鹏</cp:lastModifiedBy>
  <dcterms:modified xsi:type="dcterms:W3CDTF">2026-03-12T08:46:00Z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77B1A9E251D44255B9715E1D9B1890ED_12</vt:lpwstr>
  </property>
  <property fmtid="{D5CDD505-2E9C-101B-9397-08002B2CF9AE}" pid="4" name="KSOTemplateDocerSaveRecord">
    <vt:lpwstr>eyJoZGlkIjoiZDcwYmVjYzY2ZTY3MGIzMDY5MDliZjBiZjIzMmEzZTMiLCJ1c2VySWQiOiIxNTEyNjQ4NzM4In0=</vt:lpwstr>
  </property>
</Properties>
</file>