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5BB73">
      <w:pPr>
        <w:pStyle w:val="8"/>
        <w:keepNext w:val="0"/>
        <w:keepLines w:val="0"/>
        <w:pageBreakBefore w:val="0"/>
        <w:widowControl w:val="0"/>
        <w:kinsoku/>
        <w:wordWrap/>
        <w:overflowPunct/>
        <w:topLinePunct w:val="0"/>
        <w:bidi w:val="0"/>
        <w:snapToGrid/>
        <w:spacing w:line="560" w:lineRule="exact"/>
        <w:textAlignment w:val="auto"/>
        <w:rPr>
          <w:rFonts w:hint="eastAsia" w:hAnsi="黑体" w:cs="黑体"/>
          <w:color w:val="auto"/>
          <w:sz w:val="32"/>
          <w:szCs w:val="32"/>
          <w:lang w:val="en-US" w:eastAsia="zh-CN"/>
        </w:rPr>
      </w:pPr>
      <w:r>
        <w:rPr>
          <w:rFonts w:hint="default" w:ascii="黑体" w:hAnsi="黑体" w:eastAsia="黑体" w:cs="黑体"/>
          <w:color w:val="auto"/>
          <w:sz w:val="32"/>
          <w:szCs w:val="32"/>
          <w:lang w:val="en-US" w:eastAsia="zh-CN"/>
        </w:rPr>
        <w:t>附件</w:t>
      </w:r>
      <w:r>
        <w:rPr>
          <w:rFonts w:hint="eastAsia" w:hAnsi="黑体" w:cs="黑体"/>
          <w:color w:val="auto"/>
          <w:sz w:val="32"/>
          <w:szCs w:val="32"/>
          <w:lang w:val="en-US" w:eastAsia="zh-CN"/>
        </w:rPr>
        <w:t>4</w:t>
      </w:r>
    </w:p>
    <w:p w14:paraId="119282CC">
      <w:pPr>
        <w:rPr>
          <w:rFonts w:hint="default"/>
          <w:color w:val="auto"/>
          <w:lang w:val="en-US" w:eastAsia="zh-CN"/>
        </w:rPr>
      </w:pPr>
    </w:p>
    <w:p w14:paraId="17B47D90">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0"/>
        <w:jc w:val="center"/>
        <w:rPr>
          <w:rFonts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8"/>
          <w:szCs w:val="28"/>
          <w:shd w:val="clear" w:fill="FFFFFF"/>
        </w:rPr>
        <w:t>广西壮族自治区事业单位公开招聘人员体检通用标准（试行）</w:t>
      </w:r>
    </w:p>
    <w:p w14:paraId="23DE49DD">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w:t>
      </w:r>
    </w:p>
    <w:p w14:paraId="5E84061A">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    第一条</w:t>
      </w:r>
      <w:r>
        <w:rPr>
          <w:rFonts w:hint="eastAsia" w:ascii="宋体" w:hAnsi="宋体" w:eastAsia="宋体" w:cs="宋体"/>
          <w:i w:val="0"/>
          <w:iCs w:val="0"/>
          <w:caps w:val="0"/>
          <w:color w:val="auto"/>
          <w:spacing w:val="0"/>
          <w:sz w:val="24"/>
          <w:szCs w:val="24"/>
          <w:shd w:val="clear" w:fill="FFFFFF"/>
        </w:rPr>
        <w:t>  风湿性心脏病、心肌病、冠心病、先天性心脏病等器质性心脏病，不合格。先天性心脏病不需手术者或经手术治愈者，合格。</w:t>
      </w:r>
    </w:p>
    <w:p w14:paraId="782C7F7C">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遇有下列情况之一的，排除病理性改变，合格：</w:t>
      </w:r>
    </w:p>
    <w:p w14:paraId="5EDA7E91">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465"/>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（一）心脏听诊有杂音；</w:t>
      </w:r>
    </w:p>
    <w:p w14:paraId="3AFA0A17">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465"/>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（二）频发期前收缩；</w:t>
      </w:r>
    </w:p>
    <w:p w14:paraId="2C9D77C9">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465"/>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（三）心率每分钟小于50次或大于110次；</w:t>
      </w:r>
    </w:p>
    <w:p w14:paraId="0813FB94">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465"/>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（四）心电图有异常的其他情况。</w:t>
      </w:r>
    </w:p>
    <w:p w14:paraId="660F8177">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    第二条</w:t>
      </w:r>
      <w:r>
        <w:rPr>
          <w:rFonts w:hint="eastAsia" w:ascii="宋体" w:hAnsi="宋体" w:eastAsia="宋体" w:cs="宋体"/>
          <w:i w:val="0"/>
          <w:iCs w:val="0"/>
          <w:caps w:val="0"/>
          <w:color w:val="auto"/>
          <w:spacing w:val="0"/>
          <w:sz w:val="24"/>
          <w:szCs w:val="24"/>
          <w:shd w:val="clear" w:fill="FFFFFF"/>
        </w:rPr>
        <w:t>  血压在下列范围内，合格：收缩压小于140mmHg；舒张压小于90mmHg。</w:t>
      </w:r>
    </w:p>
    <w:p w14:paraId="608D17DF">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    第三条</w:t>
      </w:r>
      <w:r>
        <w:rPr>
          <w:rFonts w:hint="eastAsia" w:ascii="宋体" w:hAnsi="宋体" w:eastAsia="宋体" w:cs="宋体"/>
          <w:i w:val="0"/>
          <w:iCs w:val="0"/>
          <w:caps w:val="0"/>
          <w:color w:val="auto"/>
          <w:spacing w:val="0"/>
          <w:sz w:val="24"/>
          <w:szCs w:val="24"/>
          <w:shd w:val="clear" w:fill="FFFFFF"/>
        </w:rPr>
        <w:t>  血液系统疾病，不合格。单纯性缺铁性贫血，血红蛋白男性高于90g／L、女性高于80g／L，合格。地中海贫血（地贫基因携带者、静止型、轻型）且血红蛋白高于90g/L，不影响正常工作的，可给予合格；国家或行业另有要求和规定的，从其规定。</w:t>
      </w:r>
    </w:p>
    <w:p w14:paraId="53DCE6C4">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第四条</w:t>
      </w:r>
      <w:r>
        <w:rPr>
          <w:rFonts w:hint="eastAsia" w:ascii="宋体" w:hAnsi="宋体" w:eastAsia="宋体" w:cs="宋体"/>
          <w:i w:val="0"/>
          <w:iCs w:val="0"/>
          <w:caps w:val="0"/>
          <w:color w:val="auto"/>
          <w:spacing w:val="0"/>
          <w:sz w:val="24"/>
          <w:szCs w:val="24"/>
          <w:shd w:val="clear" w:fill="FFFFFF"/>
        </w:rPr>
        <w:t>  结核病不合格。但下列情况合格：</w:t>
      </w:r>
    </w:p>
    <w:p w14:paraId="0D061D6E">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（一）原发性肺结核、继发性肺结核、结核性胸膜炎，临床治愈后稳定1年无变化者；</w:t>
      </w:r>
    </w:p>
    <w:p w14:paraId="00A8E8BE">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（二）肺外结核病：肾结核、骨结核、腹膜结核、淋巴结核等，临床治愈后2年无复发，经专科医院检查无变化者。</w:t>
      </w:r>
    </w:p>
    <w:p w14:paraId="14C21C0F">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第五条</w:t>
      </w:r>
      <w:r>
        <w:rPr>
          <w:rFonts w:hint="eastAsia" w:ascii="宋体" w:hAnsi="宋体" w:eastAsia="宋体" w:cs="宋体"/>
          <w:i w:val="0"/>
          <w:iCs w:val="0"/>
          <w:caps w:val="0"/>
          <w:color w:val="auto"/>
          <w:spacing w:val="0"/>
          <w:sz w:val="24"/>
          <w:szCs w:val="24"/>
          <w:shd w:val="clear" w:fill="FFFFFF"/>
        </w:rPr>
        <w:t>  慢性支气管炎伴阻塞性肺气肿、支气管扩张、支气管哮喘，不合格。</w:t>
      </w:r>
    </w:p>
    <w:p w14:paraId="27E7BD69">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第六条</w:t>
      </w:r>
      <w:r>
        <w:rPr>
          <w:rFonts w:hint="eastAsia" w:ascii="宋体" w:hAnsi="宋体" w:eastAsia="宋体" w:cs="宋体"/>
          <w:i w:val="0"/>
          <w:iCs w:val="0"/>
          <w:caps w:val="0"/>
          <w:color w:val="auto"/>
          <w:spacing w:val="0"/>
          <w:sz w:val="24"/>
          <w:szCs w:val="24"/>
          <w:shd w:val="clear" w:fill="FFFFFF"/>
        </w:rPr>
        <w:t>  慢性胰腺炎、溃疡性结肠炎、克罗恩病等严重慢性消化系统疾病，不合格。胃次全切除术后无严重并发症者，合格。</w:t>
      </w:r>
    </w:p>
    <w:p w14:paraId="122BE0A0">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第七条</w:t>
      </w:r>
      <w:r>
        <w:rPr>
          <w:rFonts w:hint="eastAsia" w:ascii="宋体" w:hAnsi="宋体" w:eastAsia="宋体" w:cs="宋体"/>
          <w:i w:val="0"/>
          <w:iCs w:val="0"/>
          <w:caps w:val="0"/>
          <w:color w:val="auto"/>
          <w:spacing w:val="0"/>
          <w:sz w:val="24"/>
          <w:szCs w:val="24"/>
          <w:shd w:val="clear" w:fill="FFFFFF"/>
        </w:rPr>
        <w:t>  各种急慢性肝炎及肝硬化，不合格。</w:t>
      </w:r>
    </w:p>
    <w:p w14:paraId="25B2F8B9">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第八条</w:t>
      </w:r>
      <w:r>
        <w:rPr>
          <w:rFonts w:hint="eastAsia" w:ascii="宋体" w:hAnsi="宋体" w:eastAsia="宋体" w:cs="宋体"/>
          <w:i w:val="0"/>
          <w:iCs w:val="0"/>
          <w:caps w:val="0"/>
          <w:color w:val="auto"/>
          <w:spacing w:val="0"/>
          <w:sz w:val="24"/>
          <w:szCs w:val="24"/>
          <w:shd w:val="clear" w:fill="FFFFFF"/>
        </w:rPr>
        <w:t>  恶性肿瘤，不合格。</w:t>
      </w:r>
    </w:p>
    <w:p w14:paraId="31B2941B">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第九条 </w:t>
      </w:r>
      <w:r>
        <w:rPr>
          <w:rFonts w:hint="eastAsia" w:ascii="宋体" w:hAnsi="宋体" w:eastAsia="宋体" w:cs="宋体"/>
          <w:i w:val="0"/>
          <w:iCs w:val="0"/>
          <w:caps w:val="0"/>
          <w:color w:val="auto"/>
          <w:spacing w:val="0"/>
          <w:sz w:val="24"/>
          <w:szCs w:val="24"/>
          <w:shd w:val="clear" w:fill="FFFFFF"/>
        </w:rPr>
        <w:t> 肾炎、慢性肾盂肾炎、多囊肾、肾功能不全，不合格。</w:t>
      </w:r>
    </w:p>
    <w:p w14:paraId="489E22E3">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第十条</w:t>
      </w:r>
      <w:r>
        <w:rPr>
          <w:rFonts w:hint="eastAsia" w:ascii="宋体" w:hAnsi="宋体" w:eastAsia="宋体" w:cs="宋体"/>
          <w:i w:val="0"/>
          <w:iCs w:val="0"/>
          <w:caps w:val="0"/>
          <w:color w:val="auto"/>
          <w:spacing w:val="0"/>
          <w:sz w:val="24"/>
          <w:szCs w:val="24"/>
          <w:shd w:val="clear" w:fill="FFFFFF"/>
        </w:rPr>
        <w:t>  糖尿病、尿崩症、肢端肥大症等内分泌系统疾病，不合格。甲状腺功能亢进治愈后1年无症状和体征者，合格。</w:t>
      </w:r>
    </w:p>
    <w:p w14:paraId="212B37F4">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第十一条 </w:t>
      </w:r>
      <w:r>
        <w:rPr>
          <w:rFonts w:hint="eastAsia" w:ascii="宋体" w:hAnsi="宋体" w:eastAsia="宋体" w:cs="宋体"/>
          <w:i w:val="0"/>
          <w:iCs w:val="0"/>
          <w:caps w:val="0"/>
          <w:color w:val="auto"/>
          <w:spacing w:val="0"/>
          <w:sz w:val="24"/>
          <w:szCs w:val="24"/>
          <w:shd w:val="clear" w:fill="FFFFFF"/>
        </w:rPr>
        <w:t> 有癫痫病史、精神病史、癔病史、夜游症、严重的神经官能症（经常头痛头晕、失眠、记忆力明显下降等），精神活性物质滥用和依赖者，不合格。</w:t>
      </w:r>
    </w:p>
    <w:p w14:paraId="62E163E5">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第十二条</w:t>
      </w:r>
      <w:r>
        <w:rPr>
          <w:rFonts w:hint="eastAsia" w:ascii="宋体" w:hAnsi="宋体" w:eastAsia="宋体" w:cs="宋体"/>
          <w:i w:val="0"/>
          <w:iCs w:val="0"/>
          <w:caps w:val="0"/>
          <w:color w:val="auto"/>
          <w:spacing w:val="0"/>
          <w:sz w:val="24"/>
          <w:szCs w:val="24"/>
          <w:shd w:val="clear" w:fill="FFFFFF"/>
        </w:rPr>
        <w:t>  红斑狼疮、皮肌炎和/或多发性肌炎、硬皮病、结节性多动脉炎、类风湿性关节炎等各种弥漫性结缔组织疾病，大动脉炎，不合格。</w:t>
      </w:r>
    </w:p>
    <w:p w14:paraId="090E4CDF">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第十三条 </w:t>
      </w:r>
      <w:r>
        <w:rPr>
          <w:rFonts w:hint="eastAsia" w:ascii="宋体" w:hAnsi="宋体" w:eastAsia="宋体" w:cs="宋体"/>
          <w:i w:val="0"/>
          <w:iCs w:val="0"/>
          <w:caps w:val="0"/>
          <w:color w:val="auto"/>
          <w:spacing w:val="0"/>
          <w:sz w:val="24"/>
          <w:szCs w:val="24"/>
          <w:shd w:val="clear" w:fill="FFFFFF"/>
        </w:rPr>
        <w:t> 晚期血吸虫病，晚期血丝虫病兼有橡皮肿或有乳糜尿，不合格。</w:t>
      </w:r>
    </w:p>
    <w:p w14:paraId="739123A7">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第十四条</w:t>
      </w:r>
      <w:r>
        <w:rPr>
          <w:rFonts w:hint="eastAsia" w:ascii="宋体" w:hAnsi="宋体" w:eastAsia="宋体" w:cs="宋体"/>
          <w:i w:val="0"/>
          <w:iCs w:val="0"/>
          <w:caps w:val="0"/>
          <w:color w:val="auto"/>
          <w:spacing w:val="0"/>
          <w:sz w:val="24"/>
          <w:szCs w:val="24"/>
          <w:shd w:val="clear" w:fill="FFFFFF"/>
        </w:rPr>
        <w:t>  颅骨缺损、颅内异物存留、颅脑畸形、脑外伤后综合征，不合格。</w:t>
      </w:r>
    </w:p>
    <w:p w14:paraId="1B1D2806">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第十五条</w:t>
      </w:r>
      <w:r>
        <w:rPr>
          <w:rFonts w:hint="eastAsia" w:ascii="宋体" w:hAnsi="宋体" w:eastAsia="宋体" w:cs="宋体"/>
          <w:i w:val="0"/>
          <w:iCs w:val="0"/>
          <w:caps w:val="0"/>
          <w:color w:val="auto"/>
          <w:spacing w:val="0"/>
          <w:sz w:val="24"/>
          <w:szCs w:val="24"/>
          <w:shd w:val="clear" w:fill="FFFFFF"/>
        </w:rPr>
        <w:t>  严重的慢性骨髓炎，不合格。</w:t>
      </w:r>
    </w:p>
    <w:p w14:paraId="52EF4010">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第十六条 </w:t>
      </w:r>
      <w:r>
        <w:rPr>
          <w:rFonts w:hint="eastAsia" w:ascii="宋体" w:hAnsi="宋体" w:eastAsia="宋体" w:cs="宋体"/>
          <w:i w:val="0"/>
          <w:iCs w:val="0"/>
          <w:caps w:val="0"/>
          <w:color w:val="auto"/>
          <w:spacing w:val="0"/>
          <w:sz w:val="24"/>
          <w:szCs w:val="24"/>
          <w:shd w:val="clear" w:fill="FFFFFF"/>
        </w:rPr>
        <w:t> 三度单纯性甲状腺肿，不合格。</w:t>
      </w:r>
    </w:p>
    <w:p w14:paraId="72D8E33F">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第十七条</w:t>
      </w:r>
      <w:r>
        <w:rPr>
          <w:rFonts w:hint="eastAsia" w:ascii="宋体" w:hAnsi="宋体" w:eastAsia="宋体" w:cs="宋体"/>
          <w:i w:val="0"/>
          <w:iCs w:val="0"/>
          <w:caps w:val="0"/>
          <w:color w:val="auto"/>
          <w:spacing w:val="0"/>
          <w:sz w:val="24"/>
          <w:szCs w:val="24"/>
          <w:shd w:val="clear" w:fill="FFFFFF"/>
        </w:rPr>
        <w:t>  有梗阻的胆结石或泌尿系结石，不合格。</w:t>
      </w:r>
    </w:p>
    <w:p w14:paraId="25C18A57">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第十八条</w:t>
      </w:r>
      <w:r>
        <w:rPr>
          <w:rFonts w:hint="eastAsia" w:ascii="宋体" w:hAnsi="宋体" w:eastAsia="宋体" w:cs="宋体"/>
          <w:i w:val="0"/>
          <w:iCs w:val="0"/>
          <w:caps w:val="0"/>
          <w:color w:val="auto"/>
          <w:spacing w:val="0"/>
          <w:sz w:val="24"/>
          <w:szCs w:val="24"/>
          <w:shd w:val="clear" w:fill="FFFFFF"/>
        </w:rPr>
        <w:t>  淋病、梅毒、软下疳、性病性淋巴肉芽肿、尖锐湿疣、生殖器疱疹，艾滋病，不合格。</w:t>
      </w:r>
    </w:p>
    <w:p w14:paraId="24E39442">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第十九条</w:t>
      </w:r>
      <w:r>
        <w:rPr>
          <w:rFonts w:hint="eastAsia" w:ascii="宋体" w:hAnsi="宋体" w:eastAsia="宋体" w:cs="宋体"/>
          <w:i w:val="0"/>
          <w:iCs w:val="0"/>
          <w:caps w:val="0"/>
          <w:color w:val="auto"/>
          <w:spacing w:val="0"/>
          <w:sz w:val="24"/>
          <w:szCs w:val="24"/>
          <w:shd w:val="clear" w:fill="FFFFFF"/>
        </w:rPr>
        <w:t>  双眼矫正视力均低于4.8（小数视力0.6），一眼失明另一眼矫正视力低于4.9（小数视力0.8），有明显视功能损害眼病者，不合格。</w:t>
      </w:r>
    </w:p>
    <w:p w14:paraId="7A965486">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第二十条</w:t>
      </w:r>
      <w:r>
        <w:rPr>
          <w:rFonts w:hint="eastAsia" w:ascii="宋体" w:hAnsi="宋体" w:eastAsia="宋体" w:cs="宋体"/>
          <w:i w:val="0"/>
          <w:iCs w:val="0"/>
          <w:caps w:val="0"/>
          <w:color w:val="auto"/>
          <w:spacing w:val="0"/>
          <w:sz w:val="24"/>
          <w:szCs w:val="24"/>
          <w:shd w:val="clear" w:fill="FFFFFF"/>
        </w:rPr>
        <w:t>  双耳均有听力障碍，在使用人工听觉装置情况下，双耳在3米以内耳语仍听不见者，不合格。</w:t>
      </w:r>
    </w:p>
    <w:p w14:paraId="6EB7808E">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第二十一条</w:t>
      </w:r>
      <w:r>
        <w:rPr>
          <w:rFonts w:hint="eastAsia" w:ascii="宋体" w:hAnsi="宋体" w:eastAsia="宋体" w:cs="宋体"/>
          <w:i w:val="0"/>
          <w:iCs w:val="0"/>
          <w:caps w:val="0"/>
          <w:color w:val="auto"/>
          <w:spacing w:val="0"/>
          <w:sz w:val="24"/>
          <w:szCs w:val="24"/>
          <w:shd w:val="clear" w:fill="FFFFFF"/>
        </w:rPr>
        <w:t>  未纳入体检标准，影响正常履行职责的其他严重疾病，不合格。</w:t>
      </w:r>
    </w:p>
    <w:p w14:paraId="29A1E16D">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    第二十二条</w:t>
      </w:r>
      <w:r>
        <w:rPr>
          <w:rFonts w:hint="eastAsia" w:ascii="宋体" w:hAnsi="宋体" w:eastAsia="宋体" w:cs="宋体"/>
          <w:i w:val="0"/>
          <w:iCs w:val="0"/>
          <w:caps w:val="0"/>
          <w:color w:val="auto"/>
          <w:spacing w:val="0"/>
          <w:sz w:val="24"/>
          <w:szCs w:val="24"/>
          <w:shd w:val="clear" w:fill="FFFFFF"/>
        </w:rPr>
        <w:t>  本通知自2024年5月1日起施行。</w:t>
      </w:r>
    </w:p>
    <w:p w14:paraId="4166F95D">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645"/>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w:t>
      </w:r>
    </w:p>
    <w:p w14:paraId="1BDA8B92">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w:t>
      </w:r>
    </w:p>
    <w:p w14:paraId="3EBDD0E8">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0"/>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 </w:t>
      </w:r>
    </w:p>
    <w:p w14:paraId="0238FE18">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0"/>
        <w:rPr>
          <w:rFonts w:hint="eastAsia" w:ascii="宋体" w:hAnsi="宋体" w:eastAsia="宋体" w:cs="宋体"/>
          <w:i w:val="0"/>
          <w:iCs w:val="0"/>
          <w:caps w:val="0"/>
          <w:color w:val="auto"/>
          <w:spacing w:val="0"/>
          <w:sz w:val="24"/>
          <w:szCs w:val="24"/>
          <w:shd w:val="clear" w:fill="FFFFFF"/>
        </w:rPr>
      </w:pPr>
    </w:p>
    <w:p w14:paraId="0B288350">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0"/>
        <w:rPr>
          <w:rFonts w:hint="eastAsia" w:ascii="宋体" w:hAnsi="宋体" w:eastAsia="宋体" w:cs="宋体"/>
          <w:i w:val="0"/>
          <w:iCs w:val="0"/>
          <w:caps w:val="0"/>
          <w:color w:val="auto"/>
          <w:spacing w:val="0"/>
          <w:sz w:val="24"/>
          <w:szCs w:val="24"/>
          <w:shd w:val="clear" w:fill="FFFFFF"/>
        </w:rPr>
      </w:pPr>
    </w:p>
    <w:p w14:paraId="27873E1A">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0"/>
        <w:rPr>
          <w:rFonts w:hint="eastAsia" w:ascii="宋体" w:hAnsi="宋体" w:eastAsia="宋体" w:cs="宋体"/>
          <w:i w:val="0"/>
          <w:iCs w:val="0"/>
          <w:caps w:val="0"/>
          <w:color w:val="auto"/>
          <w:spacing w:val="0"/>
          <w:sz w:val="24"/>
          <w:szCs w:val="24"/>
          <w:shd w:val="clear" w:fill="FFFFFF"/>
        </w:rPr>
      </w:pPr>
    </w:p>
    <w:p w14:paraId="122DFAFC">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0"/>
        <w:rPr>
          <w:rFonts w:hint="eastAsia" w:ascii="宋体" w:hAnsi="宋体" w:eastAsia="宋体" w:cs="宋体"/>
          <w:i w:val="0"/>
          <w:iCs w:val="0"/>
          <w:caps w:val="0"/>
          <w:color w:val="auto"/>
          <w:spacing w:val="0"/>
          <w:sz w:val="24"/>
          <w:szCs w:val="24"/>
          <w:shd w:val="clear" w:fill="FFFFFF"/>
        </w:rPr>
      </w:pPr>
    </w:p>
    <w:p w14:paraId="7708B48B">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0"/>
        <w:rPr>
          <w:rFonts w:hint="eastAsia" w:ascii="宋体" w:hAnsi="宋体" w:eastAsia="宋体" w:cs="宋体"/>
          <w:i w:val="0"/>
          <w:iCs w:val="0"/>
          <w:caps w:val="0"/>
          <w:color w:val="auto"/>
          <w:spacing w:val="0"/>
          <w:sz w:val="24"/>
          <w:szCs w:val="24"/>
          <w:shd w:val="clear" w:fill="FFFFFF"/>
        </w:rPr>
      </w:pPr>
    </w:p>
    <w:p w14:paraId="63033497">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0"/>
        <w:rPr>
          <w:rFonts w:hint="eastAsia" w:ascii="宋体" w:hAnsi="宋体" w:eastAsia="宋体" w:cs="宋体"/>
          <w:i w:val="0"/>
          <w:iCs w:val="0"/>
          <w:caps w:val="0"/>
          <w:color w:val="auto"/>
          <w:spacing w:val="0"/>
          <w:sz w:val="24"/>
          <w:szCs w:val="24"/>
          <w:shd w:val="clear" w:fill="FFFFFF"/>
        </w:rPr>
      </w:pPr>
    </w:p>
    <w:p w14:paraId="1A2BD52C">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0"/>
        <w:rPr>
          <w:rFonts w:hint="eastAsia" w:ascii="宋体" w:hAnsi="宋体" w:eastAsia="宋体" w:cs="宋体"/>
          <w:i w:val="0"/>
          <w:iCs w:val="0"/>
          <w:caps w:val="0"/>
          <w:color w:val="auto"/>
          <w:spacing w:val="0"/>
          <w:sz w:val="24"/>
          <w:szCs w:val="24"/>
          <w:shd w:val="clear" w:fill="FFFFFF"/>
        </w:rPr>
      </w:pPr>
    </w:p>
    <w:p w14:paraId="088F5678">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0"/>
        <w:rPr>
          <w:rFonts w:hint="eastAsia" w:ascii="宋体" w:hAnsi="宋体" w:eastAsia="宋体" w:cs="宋体"/>
          <w:i w:val="0"/>
          <w:iCs w:val="0"/>
          <w:caps w:val="0"/>
          <w:color w:val="auto"/>
          <w:spacing w:val="0"/>
          <w:sz w:val="24"/>
          <w:szCs w:val="24"/>
          <w:shd w:val="clear" w:fill="FFFFFF"/>
        </w:rPr>
      </w:pPr>
    </w:p>
    <w:p w14:paraId="4B6F91D4">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4"/>
          <w:szCs w:val="24"/>
        </w:rPr>
      </w:pPr>
    </w:p>
    <w:p w14:paraId="5D303814">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8"/>
          <w:szCs w:val="28"/>
          <w:shd w:val="clear" w:fill="FFFFFF"/>
        </w:rPr>
        <w:t>广西壮族自治区事业单位公开招聘人员体检操作手册（试行）</w:t>
      </w:r>
    </w:p>
    <w:p w14:paraId="5202126D">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w:t>
      </w:r>
    </w:p>
    <w:p w14:paraId="16F6F8CF">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    我区事业单位公开招聘人员体检操作参照《公务员录用体检操作手册（试行）》（人社部发〔2016〕140号）执行。关于地中海贫血相关条文内容调整如下：</w:t>
      </w:r>
    </w:p>
    <w:p w14:paraId="40085F87">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一、地中海贫血条文解释</w:t>
      </w:r>
    </w:p>
    <w:p w14:paraId="042F80EE">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中海贫血，简称地贫，是由于珠蛋白基因缺陷导致的遗传性慢性溶血性疾病，因某个或多个珠蛋白基因异常引起一种或一种以上珠蛋白链合成减少或缺乏，导致珠蛋白比例失衡所引起的溶血性贫血，以溶血、无效红细胞生成及不同程度的小细胞低色素性贫血为特征。主要有α和β地中海贫血两类。临床根据贫血严重程度和是否需要定期输血将地贫分为输血依赖型地贫（TDT）和非输血依赖型地贫（NTDT）。TDT患者贫血重，依赖于</w:t>
      </w:r>
      <w:r>
        <w:rPr>
          <w:rFonts w:hint="eastAsia" w:ascii="宋体" w:hAnsi="宋体" w:eastAsia="宋体" w:cs="宋体"/>
          <w:i w:val="0"/>
          <w:iCs w:val="0"/>
          <w:caps w:val="0"/>
          <w:color w:val="auto"/>
          <w:spacing w:val="0"/>
          <w:sz w:val="24"/>
          <w:szCs w:val="24"/>
          <w:shd w:val="clear" w:fill="FFFFFF"/>
          <w:lang w:eastAsia="zh-CN"/>
        </w:rPr>
        <w:t>终生</w:t>
      </w:r>
      <w:r>
        <w:rPr>
          <w:rFonts w:hint="eastAsia" w:ascii="宋体" w:hAnsi="宋体" w:eastAsia="宋体" w:cs="宋体"/>
          <w:i w:val="0"/>
          <w:iCs w:val="0"/>
          <w:caps w:val="0"/>
          <w:color w:val="auto"/>
          <w:spacing w:val="0"/>
          <w:sz w:val="24"/>
          <w:szCs w:val="24"/>
          <w:shd w:val="clear" w:fill="FFFFFF"/>
        </w:rPr>
        <w:t>输血及祛铁治疗，包括重型β地贫、少数中间型β地贫、少数中间型α地贫、严重HbE/β地贫。NTDT是指一组不需要输血或仅在感染、手术、妊娠、生长发育迟缓等特殊情况下需要输血的地贫类型，包括不需要输血的地贫（α地贫静止型、携带者、轻型β地贫、HbC/β地贫）、偶尔需要输血的地贫（缺失型HbH病、轻度HbE/β地贫）、需要间歇性输血的地贫（非缺失型HbH病、中间型β地贫、中度HbE/β地贫）。基因携带者、轻型患者一般无症状或只有轻度贫血，多在家系调查时被筛查发现。中间型多于幼儿期出现中度贫血，但严重度不及重型，少数中间型地贫可进展为TDT。TDT一经诊断，即作不合格结论。NTDT中的静止型、携带者、轻型地贫，且血红蛋白＞90g/L者，不需要医疗干预，可按合格处理。</w:t>
      </w:r>
    </w:p>
    <w:p w14:paraId="70789F95">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auto"/>
          <w:spacing w:val="0"/>
          <w:sz w:val="24"/>
          <w:szCs w:val="24"/>
        </w:rPr>
      </w:pPr>
      <w:r>
        <w:rPr>
          <w:rStyle w:val="6"/>
          <w:rFonts w:hint="eastAsia" w:ascii="宋体" w:hAnsi="宋体" w:eastAsia="宋体" w:cs="宋体"/>
          <w:i w:val="0"/>
          <w:iCs w:val="0"/>
          <w:caps w:val="0"/>
          <w:color w:val="auto"/>
          <w:spacing w:val="0"/>
          <w:sz w:val="24"/>
          <w:szCs w:val="24"/>
          <w:shd w:val="clear" w:fill="FFFFFF"/>
        </w:rPr>
        <w:t>二、地中海贫血诊断要点</w:t>
      </w:r>
    </w:p>
    <w:p w14:paraId="206883B7">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（一）病史询问要点：有无面色苍白、乏力、头晕、活动后心慌气短、皮肤巩膜黄染、易感染、生长发育迟缓等，及起病时间。是否来自地贫高发区域；父母亲是否有贫血。</w:t>
      </w:r>
    </w:p>
    <w:p w14:paraId="3C0A2F34">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fill="FFFFFF"/>
        </w:rPr>
        <w:t>　　</w:t>
      </w:r>
      <w:r>
        <w:rPr>
          <w:rFonts w:hint="eastAsia" w:ascii="宋体" w:hAnsi="宋体" w:eastAsia="宋体" w:cs="宋体"/>
          <w:i w:val="0"/>
          <w:iCs w:val="0"/>
          <w:caps w:val="0"/>
          <w:color w:val="auto"/>
          <w:spacing w:val="0"/>
          <w:sz w:val="24"/>
          <w:szCs w:val="24"/>
          <w:shd w:val="clear" w:fill="FFFFFF"/>
        </w:rPr>
        <w:t>（二）查体要点：注意有无巩膜黄染、生长发育迟缓、身材矮小、肌肉无力、骨骼变形、头颅增大，额部、顶部、枕部隆起，颧骨隆起，鼻梁塌陷，上颌及牙齿前突等地贫外貌，有无皮肤黏膜苍白、肝脾肿大、皮肤溃疡等体征。</w:t>
      </w:r>
    </w:p>
    <w:p w14:paraId="2528F6EB">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fill="FFFFFF"/>
        </w:rPr>
        <w:t>　</w:t>
      </w:r>
      <w:r>
        <w:rPr>
          <w:rFonts w:hint="eastAsia" w:ascii="宋体" w:hAnsi="宋体" w:eastAsia="宋体" w:cs="宋体"/>
          <w:i w:val="0"/>
          <w:iCs w:val="0"/>
          <w:caps w:val="0"/>
          <w:color w:val="auto"/>
          <w:spacing w:val="0"/>
          <w:sz w:val="24"/>
          <w:szCs w:val="24"/>
          <w:shd w:val="clear" w:fill="FFFFFF"/>
        </w:rPr>
        <w:t>　（三）辅助检查要点：</w:t>
      </w:r>
    </w:p>
    <w:p w14:paraId="74631667">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1．血常规：呈小细胞低色素性贫血：红细胞平均容积（MCV）、红细胞平均血红蛋白（MCH）、红细胞平均血红蛋白浓度（MCHC）轻度或明显降低。网织红细胞计数正常或增高，白细胞计数多正常，血小板计数正常或增高，脾功能亢进时，白细胞和血小板计数减低。</w:t>
      </w:r>
    </w:p>
    <w:p w14:paraId="3D792899">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2．外周血红细胞形态：红细胞形态不一、大小不等、中央淡染区扩大，出现靶形红细胞和红细胞碎片，嗜碱性点彩红细胞、多嗜性红细胞、有核红细胞增加。</w:t>
      </w:r>
    </w:p>
    <w:p w14:paraId="0F574401">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3．骨髓象：呈红细胞系统增生明显活跃，以中、晚幼红细胞占多数，成熟红细胞改变与外周血相同。</w:t>
      </w:r>
    </w:p>
    <w:p w14:paraId="3C73F9EC">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4．血红蛋白分析：HbH患者可检测到HbH区带，HbH占5%-40%，HbA2及HbF多正常，也可出现少量Hb Bart’s；β地贫患者HbA减少而HbF、HbA2增多；异常血红蛋白E/β地贫患者除HbF、HbA2增多外，可出现HbE。</w:t>
      </w:r>
    </w:p>
    <w:p w14:paraId="2F31B9AC">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　　5．基因诊断：可采用限制性内切酶片段长度多态性（RFLP）连锁分析、等位基因特异性寡核苷酸探针点杂交（PCR-ASO）、反向点杂交（RDB）和DNA测序等方法检测地贫基因缺陷的类型和位点。</w:t>
      </w:r>
    </w:p>
    <w:p w14:paraId="023A0F7D">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0"/>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    6．区域及家系调查：区域调查显示患者来自地贫高发区域。患者父母亲外周血常规呈小细胞低素性贫血，血红蛋白电泳示HbF、HbA2增多；基因检测证实父母双方或一方为地贫基因杂合</w:t>
      </w:r>
      <w:r>
        <w:rPr>
          <w:rFonts w:hint="eastAsia" w:ascii="宋体" w:hAnsi="宋体" w:eastAsia="宋体" w:cs="宋体"/>
          <w:i w:val="0"/>
          <w:iCs w:val="0"/>
          <w:caps w:val="0"/>
          <w:color w:val="auto"/>
          <w:spacing w:val="0"/>
          <w:sz w:val="24"/>
          <w:szCs w:val="24"/>
          <w:shd w:val="clear" w:fill="FFFFFF"/>
          <w:lang w:eastAsia="zh-CN"/>
        </w:rPr>
        <w:t>。</w:t>
      </w:r>
    </w:p>
    <w:p w14:paraId="1677BFCE">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0"/>
        <w:rPr>
          <w:rFonts w:hint="eastAsia" w:ascii="宋体" w:hAnsi="宋体" w:eastAsia="宋体" w:cs="宋体"/>
          <w:i w:val="0"/>
          <w:iCs w:val="0"/>
          <w:caps w:val="0"/>
          <w:color w:val="auto"/>
          <w:spacing w:val="0"/>
          <w:sz w:val="24"/>
          <w:szCs w:val="24"/>
          <w:shd w:val="clear" w:fill="FFFFFF"/>
          <w:lang w:eastAsia="zh-CN"/>
        </w:rPr>
      </w:pPr>
    </w:p>
    <w:p w14:paraId="1685F586">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0"/>
        <w:rPr>
          <w:rFonts w:hint="eastAsia" w:ascii="宋体" w:hAnsi="宋体" w:eastAsia="宋体" w:cs="宋体"/>
          <w:i w:val="0"/>
          <w:iCs w:val="0"/>
          <w:caps w:val="0"/>
          <w:color w:val="auto"/>
          <w:spacing w:val="0"/>
          <w:sz w:val="24"/>
          <w:szCs w:val="24"/>
          <w:shd w:val="clear" w:fill="FFFFFF"/>
          <w:lang w:eastAsia="zh-CN"/>
        </w:rPr>
      </w:pPr>
    </w:p>
    <w:p w14:paraId="16BB2B9A">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0"/>
        <w:rPr>
          <w:rFonts w:hint="eastAsia" w:ascii="宋体" w:hAnsi="宋体" w:eastAsia="宋体" w:cs="宋体"/>
          <w:i w:val="0"/>
          <w:iCs w:val="0"/>
          <w:caps w:val="0"/>
          <w:color w:val="auto"/>
          <w:spacing w:val="0"/>
          <w:sz w:val="24"/>
          <w:szCs w:val="24"/>
          <w:shd w:val="clear" w:fill="FFFFFF"/>
          <w:lang w:eastAsia="zh-CN"/>
        </w:rPr>
      </w:pPr>
    </w:p>
    <w:p w14:paraId="70F0A570">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0"/>
        <w:rPr>
          <w:rFonts w:hint="eastAsia" w:ascii="宋体" w:hAnsi="宋体" w:eastAsia="宋体" w:cs="宋体"/>
          <w:i w:val="0"/>
          <w:iCs w:val="0"/>
          <w:caps w:val="0"/>
          <w:color w:val="auto"/>
          <w:spacing w:val="0"/>
          <w:sz w:val="24"/>
          <w:szCs w:val="24"/>
          <w:shd w:val="clear" w:fill="FFFFFF"/>
          <w:lang w:eastAsia="zh-CN"/>
        </w:rPr>
      </w:pPr>
    </w:p>
    <w:p w14:paraId="6F5F6B21">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0"/>
        <w:rPr>
          <w:rFonts w:hint="eastAsia" w:ascii="宋体" w:hAnsi="宋体" w:eastAsia="宋体" w:cs="宋体"/>
          <w:i w:val="0"/>
          <w:iCs w:val="0"/>
          <w:caps w:val="0"/>
          <w:color w:val="auto"/>
          <w:spacing w:val="0"/>
          <w:sz w:val="24"/>
          <w:szCs w:val="24"/>
          <w:shd w:val="clear" w:fill="FFFFFF"/>
          <w:lang w:eastAsia="zh-CN"/>
        </w:rPr>
      </w:pPr>
    </w:p>
    <w:p w14:paraId="15EBAB9E">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0"/>
        <w:rPr>
          <w:rFonts w:hint="eastAsia" w:ascii="宋体" w:hAnsi="宋体" w:eastAsia="宋体" w:cs="宋体"/>
          <w:i w:val="0"/>
          <w:iCs w:val="0"/>
          <w:caps w:val="0"/>
          <w:color w:val="auto"/>
          <w:spacing w:val="0"/>
          <w:sz w:val="24"/>
          <w:szCs w:val="24"/>
          <w:shd w:val="clear" w:fill="FFFFFF"/>
          <w:lang w:eastAsia="zh-CN"/>
        </w:rPr>
      </w:pPr>
    </w:p>
    <w:p w14:paraId="68AB37DF">
      <w:pPr>
        <w:pStyle w:val="3"/>
        <w:keepNext w:val="0"/>
        <w:keepLines w:val="0"/>
        <w:widowControl/>
        <w:suppressLineNumbers w:val="0"/>
        <w:pBdr>
          <w:top w:val="none" w:color="000000" w:sz="0" w:space="0"/>
          <w:left w:val="none" w:color="000000" w:sz="0" w:space="0"/>
          <w:bottom w:val="none" w:color="000000" w:sz="0" w:space="0"/>
          <w:right w:val="none" w:color="000000" w:sz="0" w:space="0"/>
        </w:pBdr>
        <w:shd w:val="clear" w:fill="FFFFFF"/>
        <w:spacing w:before="0" w:beforeAutospacing="0" w:after="0" w:afterAutospacing="0" w:line="480" w:lineRule="atLeast"/>
        <w:ind w:left="0" w:right="0" w:firstLine="0"/>
        <w:rPr>
          <w:rFonts w:hint="eastAsia" w:ascii="宋体" w:hAnsi="宋体" w:eastAsia="宋体" w:cs="宋体"/>
          <w:i w:val="0"/>
          <w:iCs w:val="0"/>
          <w:caps w:val="0"/>
          <w:color w:val="auto"/>
          <w:spacing w:val="0"/>
          <w:sz w:val="24"/>
          <w:szCs w:val="24"/>
          <w:shd w:val="clear" w:fill="FFFFFF"/>
          <w:lang w:eastAsia="zh-CN"/>
        </w:rPr>
      </w:pPr>
    </w:p>
    <w:p w14:paraId="44DFF5A7">
      <w:pPr>
        <w:rPr>
          <w:color w:val="auto"/>
        </w:rPr>
      </w:pPr>
      <w:bookmarkStart w:id="0" w:name="_GoBack"/>
      <w:bookmarkEnd w:id="0"/>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5C2C6D-39CC-472C-91FC-0E346B36F59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embedRegular r:id="rId2" w:fontKey="{73D59C5C-20E0-4841-94A3-DEAF9AF21B2E}"/>
  </w:font>
  <w:font w:name="方正楷体_GBK">
    <w:panose1 w:val="02000000000000000000"/>
    <w:charset w:val="86"/>
    <w:family w:val="auto"/>
    <w:pitch w:val="default"/>
    <w:sig w:usb0="A00002BF" w:usb1="38CF7CFA" w:usb2="00082016" w:usb3="00000000" w:csb0="00040001" w:csb1="00000000"/>
  </w:font>
  <w:font w:name="KaiTi_GB2312">
    <w:altName w:val="楷体"/>
    <w:panose1 w:val="02010609030101010101"/>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BE6E6D"/>
    <w:rsid w:val="0029688C"/>
    <w:rsid w:val="004C7E45"/>
    <w:rsid w:val="02421D02"/>
    <w:rsid w:val="02D634CE"/>
    <w:rsid w:val="032B6C3A"/>
    <w:rsid w:val="036208AE"/>
    <w:rsid w:val="03681C3C"/>
    <w:rsid w:val="039E740C"/>
    <w:rsid w:val="03AD58A1"/>
    <w:rsid w:val="03CF3A69"/>
    <w:rsid w:val="046C12B8"/>
    <w:rsid w:val="04D53301"/>
    <w:rsid w:val="05045994"/>
    <w:rsid w:val="068E3768"/>
    <w:rsid w:val="07723089"/>
    <w:rsid w:val="079E7F01"/>
    <w:rsid w:val="08030185"/>
    <w:rsid w:val="08053EFD"/>
    <w:rsid w:val="085207C5"/>
    <w:rsid w:val="086504F8"/>
    <w:rsid w:val="09D45935"/>
    <w:rsid w:val="0AA95014"/>
    <w:rsid w:val="0AC97464"/>
    <w:rsid w:val="0B3C7C36"/>
    <w:rsid w:val="0B440899"/>
    <w:rsid w:val="0B550CF8"/>
    <w:rsid w:val="0B84338B"/>
    <w:rsid w:val="0C2B1A59"/>
    <w:rsid w:val="0C547201"/>
    <w:rsid w:val="0CB437FC"/>
    <w:rsid w:val="0CFF716D"/>
    <w:rsid w:val="0D682F64"/>
    <w:rsid w:val="0DE6032D"/>
    <w:rsid w:val="0DF742E8"/>
    <w:rsid w:val="0E721BC1"/>
    <w:rsid w:val="0EA24254"/>
    <w:rsid w:val="0F360E40"/>
    <w:rsid w:val="0F987405"/>
    <w:rsid w:val="0FC05FDF"/>
    <w:rsid w:val="0FFA7877"/>
    <w:rsid w:val="10687DDF"/>
    <w:rsid w:val="10AD6EE0"/>
    <w:rsid w:val="10B85FB1"/>
    <w:rsid w:val="117F262B"/>
    <w:rsid w:val="11875983"/>
    <w:rsid w:val="11963E18"/>
    <w:rsid w:val="12577104"/>
    <w:rsid w:val="12691182"/>
    <w:rsid w:val="129855ED"/>
    <w:rsid w:val="12E12E71"/>
    <w:rsid w:val="12F157AA"/>
    <w:rsid w:val="13001549"/>
    <w:rsid w:val="13702B73"/>
    <w:rsid w:val="13724978"/>
    <w:rsid w:val="13F866C4"/>
    <w:rsid w:val="154871D8"/>
    <w:rsid w:val="15791EA6"/>
    <w:rsid w:val="1592442B"/>
    <w:rsid w:val="16DE4297"/>
    <w:rsid w:val="17084E70"/>
    <w:rsid w:val="170E265C"/>
    <w:rsid w:val="17B1375A"/>
    <w:rsid w:val="17BB6387"/>
    <w:rsid w:val="17F51899"/>
    <w:rsid w:val="18784278"/>
    <w:rsid w:val="18E86D07"/>
    <w:rsid w:val="19267830"/>
    <w:rsid w:val="197131A1"/>
    <w:rsid w:val="19924EC5"/>
    <w:rsid w:val="19A74E14"/>
    <w:rsid w:val="1A4B1C44"/>
    <w:rsid w:val="1A937147"/>
    <w:rsid w:val="1AF729B7"/>
    <w:rsid w:val="1B031713"/>
    <w:rsid w:val="1B2D30F7"/>
    <w:rsid w:val="1B5E7755"/>
    <w:rsid w:val="1B6805D3"/>
    <w:rsid w:val="1C314E69"/>
    <w:rsid w:val="1C4C3A51"/>
    <w:rsid w:val="1D5B7403"/>
    <w:rsid w:val="1D8D2573"/>
    <w:rsid w:val="1EBD0C36"/>
    <w:rsid w:val="1ED1023E"/>
    <w:rsid w:val="1F7F413E"/>
    <w:rsid w:val="2080016D"/>
    <w:rsid w:val="217F21D3"/>
    <w:rsid w:val="21C347B6"/>
    <w:rsid w:val="22873A35"/>
    <w:rsid w:val="22963C78"/>
    <w:rsid w:val="23CE2F9E"/>
    <w:rsid w:val="24101808"/>
    <w:rsid w:val="249661B1"/>
    <w:rsid w:val="24AC1230"/>
    <w:rsid w:val="24B623B0"/>
    <w:rsid w:val="24BF7810"/>
    <w:rsid w:val="25333A00"/>
    <w:rsid w:val="254947D1"/>
    <w:rsid w:val="2613738E"/>
    <w:rsid w:val="26190E48"/>
    <w:rsid w:val="26527EB6"/>
    <w:rsid w:val="265E685B"/>
    <w:rsid w:val="27BC5F2F"/>
    <w:rsid w:val="28920A3E"/>
    <w:rsid w:val="2A1E0FF7"/>
    <w:rsid w:val="2B3C2EE3"/>
    <w:rsid w:val="2BE041B6"/>
    <w:rsid w:val="2BFD6B16"/>
    <w:rsid w:val="2C4C35F9"/>
    <w:rsid w:val="2C583D4C"/>
    <w:rsid w:val="2C7A1F15"/>
    <w:rsid w:val="2CDA6E57"/>
    <w:rsid w:val="2DE0049D"/>
    <w:rsid w:val="2DF47AA5"/>
    <w:rsid w:val="2E6115DE"/>
    <w:rsid w:val="2ED31DB0"/>
    <w:rsid w:val="2EF97A69"/>
    <w:rsid w:val="2FD30669"/>
    <w:rsid w:val="2FDE6C5E"/>
    <w:rsid w:val="30197C97"/>
    <w:rsid w:val="30BD6874"/>
    <w:rsid w:val="30C775FC"/>
    <w:rsid w:val="30E97669"/>
    <w:rsid w:val="30ED7159"/>
    <w:rsid w:val="310E5321"/>
    <w:rsid w:val="311A1F18"/>
    <w:rsid w:val="32582CF8"/>
    <w:rsid w:val="32902492"/>
    <w:rsid w:val="32A464FC"/>
    <w:rsid w:val="343926B5"/>
    <w:rsid w:val="34565015"/>
    <w:rsid w:val="34806536"/>
    <w:rsid w:val="35441312"/>
    <w:rsid w:val="3546508A"/>
    <w:rsid w:val="35F726A8"/>
    <w:rsid w:val="3667350A"/>
    <w:rsid w:val="36AA5AEC"/>
    <w:rsid w:val="36E25286"/>
    <w:rsid w:val="372238D5"/>
    <w:rsid w:val="37EF1A09"/>
    <w:rsid w:val="3814321D"/>
    <w:rsid w:val="388D2FD0"/>
    <w:rsid w:val="38C34C43"/>
    <w:rsid w:val="3A3B7187"/>
    <w:rsid w:val="3A451DB4"/>
    <w:rsid w:val="3AED7D56"/>
    <w:rsid w:val="3B37038B"/>
    <w:rsid w:val="3B9061E2"/>
    <w:rsid w:val="3BA40D5C"/>
    <w:rsid w:val="3BC27434"/>
    <w:rsid w:val="3C655B5E"/>
    <w:rsid w:val="3C6F136A"/>
    <w:rsid w:val="3D3954D4"/>
    <w:rsid w:val="3D947922"/>
    <w:rsid w:val="3E3E7246"/>
    <w:rsid w:val="3E7E3AE6"/>
    <w:rsid w:val="3EB017C6"/>
    <w:rsid w:val="3F656A54"/>
    <w:rsid w:val="402204A1"/>
    <w:rsid w:val="40477F08"/>
    <w:rsid w:val="406E7B8B"/>
    <w:rsid w:val="40EB4D37"/>
    <w:rsid w:val="41534C17"/>
    <w:rsid w:val="41650F8E"/>
    <w:rsid w:val="416A65A4"/>
    <w:rsid w:val="41727207"/>
    <w:rsid w:val="419D0727"/>
    <w:rsid w:val="41DA7286"/>
    <w:rsid w:val="42072045"/>
    <w:rsid w:val="42186000"/>
    <w:rsid w:val="42224789"/>
    <w:rsid w:val="42870A90"/>
    <w:rsid w:val="42BE6E6D"/>
    <w:rsid w:val="432B1D63"/>
    <w:rsid w:val="434A043B"/>
    <w:rsid w:val="435C016E"/>
    <w:rsid w:val="43AD2778"/>
    <w:rsid w:val="44202F4A"/>
    <w:rsid w:val="44223166"/>
    <w:rsid w:val="442567B2"/>
    <w:rsid w:val="44915BF6"/>
    <w:rsid w:val="450C3A8A"/>
    <w:rsid w:val="453F5652"/>
    <w:rsid w:val="457207C6"/>
    <w:rsid w:val="45EE1552"/>
    <w:rsid w:val="46C73B51"/>
    <w:rsid w:val="47AB5220"/>
    <w:rsid w:val="47F44E19"/>
    <w:rsid w:val="4812704D"/>
    <w:rsid w:val="485F6737"/>
    <w:rsid w:val="487F0B87"/>
    <w:rsid w:val="48E36CDF"/>
    <w:rsid w:val="4925754C"/>
    <w:rsid w:val="4A3B3781"/>
    <w:rsid w:val="4A563B69"/>
    <w:rsid w:val="4A761B16"/>
    <w:rsid w:val="4A804742"/>
    <w:rsid w:val="4AE01685"/>
    <w:rsid w:val="4BBA1ED6"/>
    <w:rsid w:val="4BD96800"/>
    <w:rsid w:val="4C172E84"/>
    <w:rsid w:val="4C653BF0"/>
    <w:rsid w:val="4CE54D31"/>
    <w:rsid w:val="4CEA2347"/>
    <w:rsid w:val="4D07739D"/>
    <w:rsid w:val="4D2910C1"/>
    <w:rsid w:val="4D761E2D"/>
    <w:rsid w:val="4D950505"/>
    <w:rsid w:val="4DB36BDD"/>
    <w:rsid w:val="4DBD0EB7"/>
    <w:rsid w:val="4E402B66"/>
    <w:rsid w:val="4E796078"/>
    <w:rsid w:val="4E7F16F0"/>
    <w:rsid w:val="4EA604F0"/>
    <w:rsid w:val="4F251D5C"/>
    <w:rsid w:val="4FA26F09"/>
    <w:rsid w:val="4FB01626"/>
    <w:rsid w:val="4FB235F0"/>
    <w:rsid w:val="4FEB6B02"/>
    <w:rsid w:val="50795EBC"/>
    <w:rsid w:val="50950C5C"/>
    <w:rsid w:val="50EA500B"/>
    <w:rsid w:val="514364CA"/>
    <w:rsid w:val="51B00003"/>
    <w:rsid w:val="51EC090F"/>
    <w:rsid w:val="52326C6A"/>
    <w:rsid w:val="524D7600"/>
    <w:rsid w:val="52972F71"/>
    <w:rsid w:val="52AF3E17"/>
    <w:rsid w:val="52C8137C"/>
    <w:rsid w:val="52F61A46"/>
    <w:rsid w:val="53450829"/>
    <w:rsid w:val="54085ED4"/>
    <w:rsid w:val="548B08B3"/>
    <w:rsid w:val="549D3677"/>
    <w:rsid w:val="54AB6860"/>
    <w:rsid w:val="54EF499E"/>
    <w:rsid w:val="551408A9"/>
    <w:rsid w:val="55B1434A"/>
    <w:rsid w:val="571701DC"/>
    <w:rsid w:val="57DB56AE"/>
    <w:rsid w:val="580746F5"/>
    <w:rsid w:val="58D60995"/>
    <w:rsid w:val="58E40592"/>
    <w:rsid w:val="59E36A9C"/>
    <w:rsid w:val="5A0C1B4F"/>
    <w:rsid w:val="5A227E3C"/>
    <w:rsid w:val="5A5B4884"/>
    <w:rsid w:val="5A81078E"/>
    <w:rsid w:val="5A84202D"/>
    <w:rsid w:val="5ACD39D4"/>
    <w:rsid w:val="5B0E18F6"/>
    <w:rsid w:val="5B667984"/>
    <w:rsid w:val="5B687259"/>
    <w:rsid w:val="5BFE196B"/>
    <w:rsid w:val="5C86208C"/>
    <w:rsid w:val="5CD728E8"/>
    <w:rsid w:val="5CEC013B"/>
    <w:rsid w:val="5D346208"/>
    <w:rsid w:val="5D885990"/>
    <w:rsid w:val="5DDC3F2E"/>
    <w:rsid w:val="5E224037"/>
    <w:rsid w:val="5E6A153A"/>
    <w:rsid w:val="5E960581"/>
    <w:rsid w:val="5EE43E3A"/>
    <w:rsid w:val="5F334021"/>
    <w:rsid w:val="5F8605F5"/>
    <w:rsid w:val="5FA024CF"/>
    <w:rsid w:val="5FD70E51"/>
    <w:rsid w:val="5FD749AD"/>
    <w:rsid w:val="60C06560"/>
    <w:rsid w:val="60C50CA9"/>
    <w:rsid w:val="61077514"/>
    <w:rsid w:val="614B7400"/>
    <w:rsid w:val="61730705"/>
    <w:rsid w:val="61A94127"/>
    <w:rsid w:val="61C80A51"/>
    <w:rsid w:val="63043D0B"/>
    <w:rsid w:val="6347009B"/>
    <w:rsid w:val="64540CC2"/>
    <w:rsid w:val="64790728"/>
    <w:rsid w:val="659C1F4E"/>
    <w:rsid w:val="65D35C16"/>
    <w:rsid w:val="65E73470"/>
    <w:rsid w:val="66A7157D"/>
    <w:rsid w:val="67455CEF"/>
    <w:rsid w:val="67FF2CF3"/>
    <w:rsid w:val="68040309"/>
    <w:rsid w:val="6813786F"/>
    <w:rsid w:val="683A01CF"/>
    <w:rsid w:val="686139AD"/>
    <w:rsid w:val="6862351A"/>
    <w:rsid w:val="686F60CA"/>
    <w:rsid w:val="689C543D"/>
    <w:rsid w:val="68A45648"/>
    <w:rsid w:val="69115FD2"/>
    <w:rsid w:val="696A6892"/>
    <w:rsid w:val="69C2047C"/>
    <w:rsid w:val="69C45FA2"/>
    <w:rsid w:val="6AAB53B4"/>
    <w:rsid w:val="6AAD6A36"/>
    <w:rsid w:val="6AB44268"/>
    <w:rsid w:val="6B1E16E2"/>
    <w:rsid w:val="6BBF6F53"/>
    <w:rsid w:val="6C094140"/>
    <w:rsid w:val="6C30791F"/>
    <w:rsid w:val="6C517895"/>
    <w:rsid w:val="6CB06CB1"/>
    <w:rsid w:val="6CE027E4"/>
    <w:rsid w:val="6CE32BE3"/>
    <w:rsid w:val="6CF44DF0"/>
    <w:rsid w:val="6D0E5786"/>
    <w:rsid w:val="6D2F407A"/>
    <w:rsid w:val="6D8A16D9"/>
    <w:rsid w:val="6DBB3A8B"/>
    <w:rsid w:val="6E663ACB"/>
    <w:rsid w:val="6E865F1C"/>
    <w:rsid w:val="6EDE7B06"/>
    <w:rsid w:val="6EE60768"/>
    <w:rsid w:val="6FCA1E38"/>
    <w:rsid w:val="6FE922EC"/>
    <w:rsid w:val="704C0A9F"/>
    <w:rsid w:val="70840239"/>
    <w:rsid w:val="70DF0F28"/>
    <w:rsid w:val="70FD6BD0"/>
    <w:rsid w:val="712C3F43"/>
    <w:rsid w:val="71502811"/>
    <w:rsid w:val="71754026"/>
    <w:rsid w:val="71D46F9E"/>
    <w:rsid w:val="71DB657E"/>
    <w:rsid w:val="727B2178"/>
    <w:rsid w:val="72B012AF"/>
    <w:rsid w:val="72BB3CBA"/>
    <w:rsid w:val="73695125"/>
    <w:rsid w:val="737F2F3A"/>
    <w:rsid w:val="73E536E4"/>
    <w:rsid w:val="74BD1F6B"/>
    <w:rsid w:val="76595CC4"/>
    <w:rsid w:val="76DE0FBE"/>
    <w:rsid w:val="770C71DA"/>
    <w:rsid w:val="773A3D47"/>
    <w:rsid w:val="77707769"/>
    <w:rsid w:val="7771703D"/>
    <w:rsid w:val="779B28D2"/>
    <w:rsid w:val="779C055E"/>
    <w:rsid w:val="77F008AA"/>
    <w:rsid w:val="78742457"/>
    <w:rsid w:val="7892370F"/>
    <w:rsid w:val="78BB7C7E"/>
    <w:rsid w:val="79752E15"/>
    <w:rsid w:val="7A6730A5"/>
    <w:rsid w:val="7A7B08FF"/>
    <w:rsid w:val="7AC46866"/>
    <w:rsid w:val="7BB120FE"/>
    <w:rsid w:val="7BFE17E7"/>
    <w:rsid w:val="7C127041"/>
    <w:rsid w:val="7C3C6104"/>
    <w:rsid w:val="7C8B294F"/>
    <w:rsid w:val="7D7B6E68"/>
    <w:rsid w:val="7E21356B"/>
    <w:rsid w:val="7E8B30DA"/>
    <w:rsid w:val="7EFD27DB"/>
    <w:rsid w:val="7FCC7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widowControl w:val="0"/>
      <w:tabs>
        <w:tab w:val="center" w:pos="4153"/>
        <w:tab w:val="right" w:pos="8306"/>
      </w:tabs>
      <w:snapToGrid w:val="0"/>
      <w:jc w:val="left"/>
    </w:pPr>
    <w:rPr>
      <w:rFonts w:ascii="仿宋_GB2312" w:hAnsi="Calibri" w:eastAsia="仿宋_GB2312" w:cs="仿宋_GB2312"/>
      <w:kern w:val="32"/>
      <w:sz w:val="18"/>
      <w:szCs w:val="18"/>
      <w:lang w:val="en-US" w:eastAsia="zh-CN" w:bidi="ar-SA"/>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正文-公1"/>
    <w:basedOn w:val="1"/>
    <w:qFormat/>
    <w:uiPriority w:val="0"/>
    <w:pPr>
      <w:ind w:firstLine="200" w:firstLineChars="200"/>
    </w:pPr>
    <w:rPr>
      <w:rFonts w:ascii="Calibri" w:hAnsi="Calibri" w:cs="Calibri"/>
      <w:color w:val="000000"/>
      <w:szCs w:val="21"/>
    </w:rPr>
  </w:style>
  <w:style w:type="paragraph" w:customStyle="1" w:styleId="8">
    <w:name w:val="Default"/>
    <w:basedOn w:val="9"/>
    <w:next w:val="1"/>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paragraph" w:customStyle="1" w:styleId="9">
    <w:name w:val="正文1"/>
    <w:basedOn w:val="10"/>
    <w:qFormat/>
    <w:uiPriority w:val="0"/>
    <w:pPr>
      <w:jc w:val="both"/>
    </w:pPr>
    <w:rPr>
      <w:rFonts w:ascii="Calibri" w:hAnsi="Calibri" w:eastAsia="宋体" w:cs="Times New Roman"/>
      <w:sz w:val="32"/>
      <w:szCs w:val="32"/>
      <w:lang w:val="en-US" w:eastAsia="zh-CN" w:bidi="ar-SA"/>
    </w:rPr>
  </w:style>
  <w:style w:type="paragraph" w:customStyle="1" w:styleId="10">
    <w:name w:val="正文2"/>
    <w:qFormat/>
    <w:uiPriority w:val="0"/>
    <w:rPr>
      <w:rFonts w:ascii="Times New Roman" w:hAnsi="Times New Roman" w:eastAsia="宋体" w:cs="Times New Roman"/>
      <w:sz w:val="21"/>
      <w:szCs w:val="22"/>
      <w:lang w:val="en-US" w:eastAsia="zh-CN" w:bidi="ar-SA"/>
    </w:rPr>
  </w:style>
  <w:style w:type="character" w:customStyle="1" w:styleId="11">
    <w:name w:val="font21"/>
    <w:basedOn w:val="5"/>
    <w:qFormat/>
    <w:uiPriority w:val="0"/>
    <w:rPr>
      <w:rFonts w:hint="eastAsia" w:ascii="方正小标宋简体" w:hAnsi="方正小标宋简体" w:eastAsia="方正小标宋简体" w:cs="方正小标宋简体"/>
      <w:color w:val="000000"/>
      <w:sz w:val="44"/>
      <w:szCs w:val="44"/>
      <w:u w:val="none"/>
    </w:rPr>
  </w:style>
  <w:style w:type="character" w:customStyle="1" w:styleId="12">
    <w:name w:val="font81"/>
    <w:basedOn w:val="5"/>
    <w:qFormat/>
    <w:uiPriority w:val="0"/>
    <w:rPr>
      <w:rFonts w:hint="eastAsia" w:ascii="方正小标宋简体" w:hAnsi="方正小标宋简体" w:eastAsia="方正小标宋简体" w:cs="方正小标宋简体"/>
      <w:color w:val="FF0000"/>
      <w:sz w:val="44"/>
      <w:szCs w:val="44"/>
      <w:u w:val="none"/>
    </w:rPr>
  </w:style>
  <w:style w:type="character" w:customStyle="1" w:styleId="13">
    <w:name w:val="NormalCharacter"/>
    <w:semiHidden/>
    <w:qFormat/>
    <w:uiPriority w:val="0"/>
  </w:style>
  <w:style w:type="table" w:customStyle="1" w:styleId="14">
    <w:name w:val="Table Normal"/>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7403</Words>
  <Characters>7936</Characters>
  <Lines>0</Lines>
  <Paragraphs>0</Paragraphs>
  <TotalTime>0</TotalTime>
  <ScaleCrop>false</ScaleCrop>
  <LinksUpToDate>false</LinksUpToDate>
  <CharactersWithSpaces>8096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2026-02-27T09:11:00Z</dcterms:created>
  <dc:creator>格桑</dc:creator>
  <cp:lastModifiedBy>傅景久</cp:lastModifiedBy>
  <cp:lastPrinted>2026-03-12T09:39:00Z</cp:lastPrinted>
  <dcterms:modified xsi:type="dcterms:W3CDTF">2026-03-16T01:31:54Z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2C2DA698B2B641C28B1547FE759D9431_13</vt:lpwstr>
  </property>
  <property fmtid="{D5CDD505-2E9C-101B-9397-08002B2CF9AE}" pid="4" name="KSOTemplateDocerSaveRecord">
    <vt:lpwstr>eyJoZGlkIjoiNzAwMmEzOWM1ZjRmNzg4ZjZmNWVlOWY3MGE0OTFlNGUiLCJ1c2VySWQiOiIzNzk0MjYwNzYifQ==</vt:lpwstr>
  </property>
</Properties>
</file>