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A3C7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5"/>
        <w:gridCol w:w="690"/>
        <w:gridCol w:w="4350"/>
        <w:gridCol w:w="990"/>
        <w:gridCol w:w="1800"/>
        <w:gridCol w:w="4295"/>
      </w:tblGrid>
      <w:tr w14:paraId="19D8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1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成都市锦江区芙蓉小学招聘员额教师岗位一览表</w:t>
            </w:r>
            <w:bookmarkEnd w:id="0"/>
          </w:p>
        </w:tc>
      </w:tr>
      <w:tr w14:paraId="1EFF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0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4D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4B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3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E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47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9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E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3727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B6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E6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C5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6B3F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06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4A3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6B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9FB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普通高等教育大学本科及以上，并取得相应学位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1A7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9D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A9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A6A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E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3EC650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264543"/>
    <w:p w14:paraId="2617B722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75CA"/>
    <w:rsid w:val="68B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2026-03-31T09:26:00Z</dcterms:created>
  <dc:creator>亮炙都旱</dc:creator>
  <cp:lastModifiedBy>亮炙都旱</cp:lastModifiedBy>
  <dcterms:modified xsi:type="dcterms:W3CDTF">2026-03-31T09:27:28Z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700F6C5475744479857ACC8332D35AC8_11</vt:lpwstr>
  </property>
</Properties>
</file>