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r>
        <w:rPr>
          <w:rFonts w:hint="eastAsia"/>
        </w:rPr>
        <w:t>贵州中医药大学第二附属医院第十四届贵州人才博览会引才工作方案</w:t>
      </w:r>
    </w:p>
    <w:p>
      <w:pPr>
        <w:ind w:left="0" w:leftChars="0" w:firstLine="0" w:firstLineChars="0"/>
      </w:pPr>
      <w:r>
        <w:rPr>
          <w:rFonts w:hint="eastAsia"/>
        </w:rPr>
        <w:t>日期：2026-04-20 14:55:25  来源：贵州中医药大学第二附属医院</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bdr w:val="none" w:color="auto" w:sz="0" w:space="0"/>
          <w:shd w:val="clear" w:fill="FFFFFF"/>
        </w:rPr>
        <w:t>根据《贵州省人力资源和社会保障厅关于做好第十四届贵州人才博览会事业单位引进人才有关工作的通知》（黔人社通〔2026〕16号）要求，为做好贵州中医药大学第二附属医院参加第十四届贵州人才博览会引才工作，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（三）坚持按需设岗、按岗引才、人岗相适、人事相宜的原则。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工作需要，贵州中医药大学第二附属医院参加第十四届贵州人才博览会引才，共设置5个岗位，拟引进硕士研究生7名，均为专业技术人员。具体引才岗位及要求见《贵州中医药大学第二附属医院参加第十四届贵州人才博览会引才岗位信息表》（附件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三、引才条件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引进人才须具备下列基本条件：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1.具有中华人民共和国国籍，拥护中华人民共和国宪法，拥护中国共产党的领导，具有良好的思想政治素质。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2.自觉遵规守纪，诚实守信，品行端正，具有良好的职业道德和敬业精神。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3.专业素养好，熟悉有关政策法规和行业发展情况，具有胜任应聘岗位需要的相关专业知识和工作能力。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年龄在18周岁以上（2008年4月21日以前出生），38周岁以下（1987年4月30日以后出生）。硕士研究生40周岁以下（1985年4月30日以后出生），具有博士研究生学历学位的年龄放宽到45周岁（1980年4月30日以后出生）。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（一）发布引才岗位信息和引才方案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在贵州人才博览会官网（https://re: guizhou. gov.cn）、贵州省人力资源和社会保障厅官网（http://rst.guizhou.gov.cn）、贵州中医药大学第二附属医院官网（http://www.gzydefy.com/）同步面向社会公开发布引进人才岗位、数量、资格条件等相关信息的方案。公告时间从2026年4月21日到2026年4月29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1.报名时间及要求。</w:t>
      </w:r>
      <w:r>
        <w:rPr>
          <w:rFonts w:hint="eastAsia" w:ascii="仿宋_GB2312" w:hAnsi="微软雅黑" w:eastAsia="仿宋_GB2312" w:cs="仿宋_GB2312"/>
          <w:i w:val="0"/>
          <w:iCs w:val="0"/>
          <w:caps w:val="0"/>
          <w:color w:val="333333"/>
          <w:spacing w:val="0"/>
          <w:sz w:val="31"/>
          <w:szCs w:val="31"/>
          <w:bdr w:val="none" w:color="auto" w:sz="0" w:space="0"/>
          <w:shd w:val="clear" w:fill="FFFFFF"/>
        </w:rPr>
        <w:t>应聘人才应于2026年4月21日至2026年4月30日18:00前登录贵州人才博览会官网（https://re: guizhou. gov.cn）注册，在贵州人才博览会官网向用人单位投递求职简历及相关材料。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报名人员提交的报名材料应当真实、准确、完整。报名人员因身份证过期、信息填写失误、未按时提交报名材料等原因，导致网上资格审核未通过等问题的，后果由报名人员本人承担。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报名人员提交报名后应及时登录查看网上审核结果。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报名人员故意隐瞒本人重要信息或提供虚假材料的，一经查实，立即取消进入下一个环节的资格。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（1）报名人员填报的专业名称必须与毕业证完全一致，如专业名称后面带括号或其他说明的也必须如实填报。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岗位所需专业为二级学科的，对属于该二级学科专业研究方向且课程相同率达到80%以上的一级学科，以及属于高校自主设置或国外学历相近专业，且专业课程与岗位所需专业相近率达到70%的，可纳入报考范围。应聘人才报名时在备注栏加以说明（“需进行课程相同率或相似率认定”），并按“报名须提交的材料”中“第（6）条”在报名时提交规定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原则上要求本人亲自报名和填写相关信息，信息填写不真实、不完整或填写错误的责任自负。如因特殊情况请他人代为填写报名信息的，视为报名人员本人填写，由报名人员本人承担相关责任。若网上填写信息不真实、不完整或填写错误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2.报名须提交的材料。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（1）本人简历。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（2）本人有效《居民身份证》（需提供正反两面图片）或户籍所在地公安机关出具的附本人照片的户籍、身份证明。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本人毕业证、学位证，国（境）外、香港、澳门学历须提供教育部留学服务中心出具的“学历学位认证书”或“香港、澳门特别行政区学历学位认证书”。2026年度毕业生无法提供毕业证书、学位证书的，须提供内容填写完整并加盖公章的毕业生就业推荐表及在校成绩单、教育部学籍在线验证报告，但在考察环节，必须按要求提供相应的毕业证书、学位证书原件及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报考要求具备医师资格证、住院医师规范化培训合格证的岗位，需提供医师资格证、医师执业证、住院医师规范化培训合格证。2026年拟完成规培尚未取得证书的应聘人才，须提供所在规培基地管理部门出具的规培证明（附件2），并在考察环节时提供规培结业考试成绩合格证明。截止2026年12月31日前未取得规培证书，则不具备录用资格，后续不予录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有人事管理权的所在单位及主管部门同意报考的证明。其中，中小学及幼儿园在职在编人员须经当地县级以上教育行政主管部门同意，医疗卫生系统在职在编人员须经当地县级以上卫生行政主管部门同意（附件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留学归国、高校自设学科等应聘人员所学学科专业与资格条件要求的学科专业相近但不在选定参考目录，且所学专业课程、研究方向与岗位所需专业相近率达到70％，可纳入报考范围；岗位专业要求为二级学科的，对属于该二级学科专业研究方向且课程相同率达到70％以上的一级学科，可纳入报考范围。符合本条款规定的报考人员，在报名表中“是否符合专业比对条件栏”应如实填写，并提供本人亲笔签字按手印的《提交专业比对条件报考人员承诺书》（附件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7）资格复审环节由报考人员本人如实提供比对专业名称及课程的有效证明材料，招聘单位将根据报考人员提供的证明材料组织专家结合岗位专业要求开展论证。不如实提供有效证明材料的责任由报考人员本人承担。招聘单位将根据专家论证结果进行资格复审，若专家论证结果达不到本条款要求的，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（8）关于“两个同等对待”政策说明：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a.对面向社会招收的普通高校应届毕业生住院医师规范化培训对象，应于2026年完成规培结业考核的，按照2026年高校毕业生同等对待。符合上述条件，应于2026年完成规培尚未取得证书的应聘人员，须在资格复审时提供规培结业证明材料，并在考察环节时提供规培结业考试成绩合格证明。如若当年规培结业考试不合格，则不取得录用资格，后续不予录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b.对经规培合格的本科学历临床医师，按照临床医学类、口腔医学类、中医学类专业学位硕士研究生同等对待。在报考岗位时，凡取得规培合格证的本科学历临床医师，可报考专业要求为临床医学、口腔医学、中医学的硕士研究生学历硕士学位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c.2014年以前的（不含2014年）本科及以上学历医学类专业毕业生（临床医学类、口腔医学类、中医学类，下同）有三级医院工作经历，按规定可以不参加住院医师规范化培训的考生，本次公开招聘不受《住院医师规范化培训合格证书》限制；2014年以后的（含2014年）本科及以上学历医学类专业毕业生须取得《住培合格证书》作为报名的必备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引才单位按照岗位信息审查应聘人员专业、学历学位等是否符合岗位要求。对符合报名条件的，不得拒绝报名；对审查不合格的，应说明理由。资格审查合格人员名单在贵州中医药大学第二附属医院官网公布。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特别提示：网上报名资格初审只对应聘人员在网上提交的报名信息进行审核，不对应聘人员所提交信息的真实性进行审核。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应聘人才报名时必须认真阅读《贵州中医药大学第二附属医院参加第十四届贵州人才博览会引才工作方案》中所规定的引才条件，以及《贵州中医药大学第二附属医院参加第十四届贵州人才博览会引才岗位信息表》中的各项要求，确定自己是否符合引才条件之后，再选择符合自己的岗位进行填报。否则，错报、误报和瞒报造成的一切后果，由应聘人才本人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2.资格审查贯穿引才工作全过程，任何环节发现应聘人才有违纪违规、提供虚假信息、无效证明或应聘人才条件不符合引才条件及岗位要求等情况的，可随时取消进入下一环节的资格。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1.评审形式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本届人才博览会引才采取“线上初评＋线下考核”形式进行评审。根据资格初审结果，对于单个岗位资格初审通过人数大于35人（含35人）的，采取“线上初评＋线下考核”形式进行评审；对于单个岗位资格初审通过人数少于35人（不含35人）的引才岗位，不再开展线上初评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2.评审安排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（1）线上初评：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资格初审通过人数大于35人（含35人）时，须组织开展线上初评。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初评对象、时间、地点：相关通知在贵州中医药大学第二附属医院官网发布；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初评方式及内容：对应聘人员的政治思想、专业知识、语言表达能力、应变能力、举止仪表、综合素质等情况进行评审；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结果运用：线上初评的成绩按百分制进行打分，满分为100分，设最低分数线为70分。评审专家打分去掉一个最高分和一个最低分后，取平均分（按四舍五入原则，保留小数点后两位数）作为线上初评最终得分。该成绩仅用于确定进入资格复审人员名额，不计入线下考核环节总成绩。根据初评得分由高到低的原则，按照单个岗位招聘人数与进入线下考核人数1:5的比例，确定进入线下考核人员名单。同一岗位应聘人员线上初评成绩末位并列的，同时进入资格复审。单个岗位数量与报名人数达不到1:5比例的按照实际参加线上初评人数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公布成绩：成绩在贵州中医药大学第二附属医院发布。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未参加线上初评、未达到最低分数线70分（按百分制计算）的应聘人员取消进入下一环节的资格，空缺岗位不予递补。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线上初评结束后，进入资格复审环节。不开展线上初评环节时，资格初审通过人员即确定为进入资格复审人员。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由贵州中医药大学第二附属医院根据招聘条件及岗位要求，对进入资格复审人员的基本信息、所提供的材料、应聘资格和条件等进行审查。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进入资格复审人员名单、资格复审时间及地点等相关事项在贵州中医药大学第二附属医院网站上公布。请应聘人员关注资格复审相关公告并保持电话畅通，如因应聘人员未阅读公告或错填联系电话、关闭电话、更改电话号码等导致无法联系未参加资格复审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资格复审不合格或未按要求参加资格复审的应聘人员，取消进入线下考核环节资格，空缺岗位按线上初评成绩从高到低依次进行递补（须达到最低分数线70分），最多2次递补。资格复审期间，招录单位24小时内无法联系到复审递补人员的，视为递补人员自动放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资格复审合格人员名单等相关事宜通过贵州中医药大学第二附属医院官网发布。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资格审查贯穿招聘工作全过程，在招聘过程中任何环节发现报考人员有违纪违规、材料不齐、弄虚作假或不符合招聘岗位条件等情况的，立即取消进入下一环节资格或聘用资格。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开展“线上初评+线下考核”的，根据应聘人员的线上初评成绩由高到低，按单个岗位引才计划数与该岗位进入线下考核人员数1∶5的比例确定线下考核人员；单个岗位引才计划数与该岗位进入线下考核人员数未达到1∶5比例的，按实际取得有效线上初评成绩人数确定进入线下考核人员。不开展线上初评环节时，资格复审通过人员即确定为进入线下考核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线下考核对象、时间、地点：相关通知在贵州中医药大学第二附属医院官网发布；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考核方式及内容：以结构化面试的方式，围绕政治素质、专业能力、综合素质进行问答；</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结果运用：线下考核的成绩按百分制进行打分，满分为100分，设最低分数线为70分，评审专家打分去掉一个最高分和一个最低分后，取平均分（按四舍五入原则，保留小数点后两位数）作为线下考核最终得分。根据考核得分由高到低的原则，按照单个岗位招聘人数与进入体检人数1:1的比例，确定进入体检环节人员名单。同一岗位线下考核成绩出现并列的，按实际成绩计算，如仍并列的，线上初评成绩高的进入下一环节。所有进入下一环节人员的线下考核成绩均须达到70分及以上（满分为100分）。线下考核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公布成绩：成绩在贵州中医药大学第二附属官网发布。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未参加线下考核、未达到最低分数线（70分）的应聘人员取消进入下一环节的资格，空缺岗位不予递补。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（五）体检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线下考核结束，进入体检环节。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面试结束后，根据应聘人员总成绩由高到低按单个岗位招聘计划人数与该岗位参加体检人数1:1的比例确定体检对象。放弃体检或体检不合格的，取消进入下一环节资格，空缺岗位不予递补。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体检的具体时间、地点另行通知。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须在贵州中医药大学第二附属医院指定的县级及以上医院进行，在规定时间内进行并做出体检结论，其他结论、鉴定一律不予认可。因特殊情况需进一步检查的，应按照体检医院的要求，在贵州中医药大学第二附属医院的监督下进行。复检只能进行一次，体检结果以复检结论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体检费用由应聘人员自理，体检标准参照贵州省公务员录用体检标准执行。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报考人员不服从体检安排、故意隐瞒本人重要信息或提供虚假材料的，一经查实，立即取消进入下一个环节的资格。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（六）政审考察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合格人员作为考察对象，对其进行考察。考察内容主要包括应聘人才政治思想、道德品质、能力素质、学习和工作表现、遵纪守法、廉洁自律以及是否需要回避等。按照“凡进必审”的原则，贯彻党管人才原则，坚持政治标准和学术标准相统一，将思想政治表现、遵纪守法情况、道德品行等作为重点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在考察中发现下列情况之一者，考察不合格，报贵州中医药大学第二附属医院党组审定后，取消其进入下一环节的资格。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2.定向到具体行业或单位的应届毕业生。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3.在读的非2026届应届大中专及以上毕业生。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7.曾因贪污、行贿受贿、泄露国家机密等原因受到过党纪、政纪处分或近三年在机关、事业单位年度考核中曾被确定为“不称职”“不合格”的人员。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8.截止2026年12月31日未能提交引才岗位所需资格条件的相关证明材料的人员。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9.不符合引才岗位所需资格或条件的人员。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10.在事业单位公开招聘中被认定有舞弊等严重违反聘用纪律行为的人员，以及在各级各类事业单位公开招聘中因违反《事业单位公开引才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11.人民法院认定为失信被执行人的或经有关政府行政主管部门认定存在严重违法失信行为的人员。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12.有法律法规规定不得聘用的人员。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（七）拟聘人员公示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经引才评审、体检、考察合格的应聘人才，经贵州中医药大学第二附属医院党组研究同意后，确定为拟聘用人员，由贵州中医药大学第二附属在贵州省人力资源和社会保障厅官网及贵州中医药大学第二附属医院官网进行公示，公示时间不少于五个工作日，公示无异议的，按规定程序办理聘用手续。公示期间查实有严重问题影响聘用的，取消聘用资格，一时难以查实的，暂缓聘用，待查实并作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（八）办理聘用手续。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被聘用人员应在规定时间到引才单位报到。拒不报到的，解除聘用关系。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五、有关说明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（一）第十四届贵州人才博览会引才工作在贵州中医药大学第二附属医院党组的统一领导下，成立人博会引才工作领导小组。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贵州中医药大学第二附属医院纪检监察部门全程监督人博会引才工作，加强对公引才工作的监督；应聘人才应自觉遵守回避制度；相关工作人员严格落实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引才有关政策咨询电话：0851-85287496（贵州中医药大学第二附属医院人事处）；引才过程中具体事宜，请联系各引才单位具体经办人（岗位信息表中联系人）。监督电话：0851-85552970（贵州中医药大学第二附属医院纪委）。联系时间：工作日上午9:00至12:00；下午14:00至17: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所有应聘人员在报名前请务必仔细阅读本引才方案，随时保持通信联络畅通，并对贵州中医药大学第二附属医院官网、贵州省人力资源和社会保障厅官网、贵州人才博览会官网保持关注，如因考生未阅读公告或错填联系电话、关闭电话、更改电话号码等导致无法联系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六、其他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未定事宜，由贵州中医药大学第二附属医院商贵州省人力资源和社会保障厅研究确定。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本引才工作方案由贵州中医药大学第二附属医院负责解释。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2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8"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"https://rst.guizhou.gov.cn/zwgk/zdlyxx/sydwgkzp/202604/P020260420548599009674.xlsx" \o "附件1：第十四届贵州人才博览会引才省直（属）事业单位岗位信息表.xlsx"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附件1：第十四届贵州人才博览会引才省直（属）事业单位岗位信息表.xlsx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8"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"https://rst.guizhou.gov.cn/zwgk/zdlyxx/sydwgkzp/202604/P020260420548599034889.docx" \o "附件2.住院医师规范化培训证明（模板）.docx"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附件2.住院医师规范化培训证明（模板）.docx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8"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"https://rst.guizhou.gov.cn/zwgk/zdlyxx/sydwgkzp/202604/P020260420548599074473.doc" \o "附件3： 同意报考证明（模板）.doc"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 同意报考证明（模板）.doc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8"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"https://rst.guizhou.gov.cn/zwgk/zdlyxx/sydwgkzp/202604/P020260420548599116799.doc" \o "附件4：符合专业比对条件报考人员承诺书.doc"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附件4：符合专业比对条件报考人员承诺书.doc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2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right"/>
        <w:rPr>
          <w:rFonts w:hint="eastAsia" w:ascii="仿宋_GB2312" w:hAnsi="微软雅黑" w:eastAsia="仿宋_GB2312" w:cs="仿宋_GB2312"/>
          <w:i w:val="0"/>
          <w:iCs w:val="0"/>
          <w:caps w:val="0"/>
          <w:color w:val="333333"/>
          <w:spacing w:val="0"/>
          <w:sz w:val="31"/>
          <w:szCs w:val="31"/>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贵州中医药大学第二附属医院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 xml:space="preserve"> 2026年4月20日</w:t>
      </w:r>
    </w:p>
    <w:p>
      <w:pPr>
        <w:autoSpaceDN w:val="0"/>
        <w:rPr>
          <w:rFonts w:hint="eastAsia"/>
        </w:rPr>
      </w:pPr>
    </w:p>
    <w:p>
      <w:pPr>
        <w:autoSpaceDN w:val="0"/>
        <w:rPr>
          <w:rFonts w:hint="eastAsia"/>
        </w:rPr>
      </w:pPr>
    </w:p>
    <w:p>
      <w:pPr>
        <w:autoSpaceDN w:val="0"/>
        <w:rPr>
          <w:rFonts w:hint="eastAsia"/>
        </w:rPr>
      </w:pPr>
    </w:p>
    <w:p>
      <w:pPr>
        <w:autoSpaceDN w:val="0"/>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UtN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bXnDlhaeDn79/OP36df35l&#10;q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v5S0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9viZskBAACa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2+Jm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aX6v2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A2DD2"/>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0D5E7F76"/>
    <w:rsid w:val="12A35234"/>
    <w:rsid w:val="201568F5"/>
    <w:rsid w:val="2F346E01"/>
    <w:rsid w:val="3C923D8E"/>
    <w:rsid w:val="3EA10927"/>
    <w:rsid w:val="46AD648E"/>
    <w:rsid w:val="66B909D6"/>
    <w:rsid w:val="71EA2DD2"/>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3</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2026-04-22T10:53:00Z</dcterms:created>
  <dc:creator>Administrator</dc:creator>
  <cp:lastModifiedBy>Forget all</cp:lastModifiedBy>
  <dcterms:modified xsi:type="dcterms:W3CDTF">2026-04-22T10:56:25Z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390C6D5D694D4F849BB67181EDF24D57</vt:lpwstr>
  </property>
  <property fmtid="{D5CDD505-2E9C-101B-9397-08002B2CF9AE}" pid="3" name="KSOProductBuildVer">
    <vt:lpwstr>2052-11.8.2.10912</vt:lpwstr>
  </property>
</Properties>
</file>